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AFF" w14:textId="56EAE654" w:rsidR="009A42DA" w:rsidRPr="00047DD8" w:rsidRDefault="009A42DA" w:rsidP="009A42DA">
      <w:pPr>
        <w:jc w:val="center"/>
        <w:rPr>
          <w:b/>
          <w:i/>
          <w:sz w:val="28"/>
          <w:szCs w:val="28"/>
        </w:rPr>
      </w:pPr>
      <w:r w:rsidRPr="00047DD8">
        <w:rPr>
          <w:b/>
          <w:i/>
          <w:sz w:val="28"/>
          <w:szCs w:val="28"/>
        </w:rPr>
        <w:t xml:space="preserve">Curriculum </w:t>
      </w:r>
      <w:r w:rsidR="007C6397">
        <w:rPr>
          <w:b/>
          <w:i/>
          <w:sz w:val="28"/>
          <w:szCs w:val="28"/>
        </w:rPr>
        <w:t>V</w:t>
      </w:r>
      <w:r w:rsidRPr="00047DD8">
        <w:rPr>
          <w:b/>
          <w:i/>
          <w:sz w:val="28"/>
          <w:szCs w:val="28"/>
        </w:rPr>
        <w:t>itae</w:t>
      </w:r>
    </w:p>
    <w:p w14:paraId="525F463A" w14:textId="77777777" w:rsidR="009A42DA" w:rsidRDefault="009A42DA"/>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2E0E97" w14:paraId="7A35A02F" w14:textId="77777777">
        <w:tc>
          <w:tcPr>
            <w:tcW w:w="2268" w:type="dxa"/>
            <w:tcMar>
              <w:top w:w="29" w:type="dxa"/>
              <w:left w:w="115" w:type="dxa"/>
              <w:bottom w:w="29" w:type="dxa"/>
              <w:right w:w="115" w:type="dxa"/>
            </w:tcMar>
          </w:tcPr>
          <w:p w14:paraId="63C0FFE2" w14:textId="756962BA" w:rsidR="00CB62DE" w:rsidRPr="002E0E97" w:rsidRDefault="00CB62DE" w:rsidP="00B4095F">
            <w:pPr>
              <w:pStyle w:val="NormalWeb"/>
              <w:spacing w:before="0" w:beforeAutospacing="0" w:after="0" w:afterAutospacing="0"/>
              <w:outlineLvl w:val="0"/>
              <w:rPr>
                <w:b/>
                <w:bCs/>
              </w:rPr>
            </w:pPr>
            <w:r w:rsidRPr="002E0E97">
              <w:rPr>
                <w:b/>
                <w:bCs/>
              </w:rPr>
              <w:t>Date Prepared:</w:t>
            </w:r>
          </w:p>
        </w:tc>
        <w:tc>
          <w:tcPr>
            <w:tcW w:w="8172" w:type="dxa"/>
            <w:tcMar>
              <w:top w:w="29" w:type="dxa"/>
              <w:left w:w="115" w:type="dxa"/>
              <w:bottom w:w="29" w:type="dxa"/>
              <w:right w:w="115" w:type="dxa"/>
            </w:tcMar>
          </w:tcPr>
          <w:p w14:paraId="7E255B89" w14:textId="6A0263D4" w:rsidR="00CB62DE" w:rsidRPr="00EC528A" w:rsidRDefault="0044352D" w:rsidP="00B4095F">
            <w:pPr>
              <w:pStyle w:val="NormalWeb"/>
              <w:spacing w:before="0" w:beforeAutospacing="0" w:after="0" w:afterAutospacing="0"/>
              <w:outlineLvl w:val="0"/>
              <w:rPr>
                <w:lang w:eastAsia="zh-CN"/>
              </w:rPr>
            </w:pPr>
            <w:r>
              <w:rPr>
                <w:rFonts w:hint="eastAsia"/>
                <w:lang w:eastAsia="zh-CN"/>
              </w:rPr>
              <w:t>04</w:t>
            </w:r>
            <w:r w:rsidR="00812A12">
              <w:t>/2</w:t>
            </w:r>
            <w:r>
              <w:rPr>
                <w:rFonts w:hint="eastAsia"/>
                <w:lang w:eastAsia="zh-CN"/>
              </w:rPr>
              <w:t>4</w:t>
            </w:r>
            <w:r w:rsidR="00812A12">
              <w:t>/202</w:t>
            </w:r>
            <w:r>
              <w:rPr>
                <w:rFonts w:hint="eastAsia"/>
                <w:lang w:eastAsia="zh-CN"/>
              </w:rPr>
              <w:t>6</w:t>
            </w:r>
          </w:p>
        </w:tc>
      </w:tr>
      <w:tr w:rsidR="00CB62DE" w:rsidRPr="002E0E97" w14:paraId="24A0F322" w14:textId="77777777">
        <w:tc>
          <w:tcPr>
            <w:tcW w:w="2268" w:type="dxa"/>
            <w:tcMar>
              <w:top w:w="58" w:type="dxa"/>
              <w:left w:w="115" w:type="dxa"/>
              <w:bottom w:w="58" w:type="dxa"/>
              <w:right w:w="115" w:type="dxa"/>
            </w:tcMar>
          </w:tcPr>
          <w:p w14:paraId="764F305E" w14:textId="77777777" w:rsidR="00CB62DE" w:rsidRPr="002E0E97" w:rsidRDefault="00CB62DE" w:rsidP="00B4095F">
            <w:pPr>
              <w:pStyle w:val="NormalWeb"/>
              <w:spacing w:before="0" w:beforeAutospacing="0" w:after="0" w:afterAutospacing="0"/>
              <w:outlineLvl w:val="0"/>
              <w:rPr>
                <w:b/>
                <w:bCs/>
              </w:rPr>
            </w:pPr>
            <w:r w:rsidRPr="002E0E97">
              <w:rPr>
                <w:b/>
                <w:bCs/>
              </w:rPr>
              <w:t>Name:</w:t>
            </w:r>
          </w:p>
        </w:tc>
        <w:tc>
          <w:tcPr>
            <w:tcW w:w="8172" w:type="dxa"/>
            <w:tcMar>
              <w:top w:w="58" w:type="dxa"/>
              <w:left w:w="115" w:type="dxa"/>
              <w:bottom w:w="58" w:type="dxa"/>
              <w:right w:w="115" w:type="dxa"/>
            </w:tcMar>
          </w:tcPr>
          <w:p w14:paraId="56FF8BBF" w14:textId="0B11F25C" w:rsidR="00CB62DE" w:rsidRPr="00EC528A" w:rsidRDefault="00812A12" w:rsidP="00B4095F">
            <w:pPr>
              <w:pStyle w:val="NormalWeb"/>
              <w:spacing w:before="0" w:beforeAutospacing="0" w:after="0" w:afterAutospacing="0"/>
              <w:outlineLvl w:val="0"/>
            </w:pPr>
            <w:r>
              <w:t>Jinhai Yu</w:t>
            </w:r>
          </w:p>
        </w:tc>
      </w:tr>
      <w:tr w:rsidR="00CB62DE" w:rsidRPr="002E0E97" w14:paraId="1D2516F6" w14:textId="77777777">
        <w:tc>
          <w:tcPr>
            <w:tcW w:w="2268" w:type="dxa"/>
            <w:tcMar>
              <w:top w:w="58" w:type="dxa"/>
              <w:left w:w="115" w:type="dxa"/>
              <w:bottom w:w="58" w:type="dxa"/>
              <w:right w:w="115" w:type="dxa"/>
            </w:tcMar>
          </w:tcPr>
          <w:p w14:paraId="7A0C23D8" w14:textId="515999AD" w:rsidR="00CB62DE" w:rsidRPr="002E0E97" w:rsidRDefault="00CB62DE" w:rsidP="00B4095F">
            <w:pPr>
              <w:pStyle w:val="NormalWeb"/>
              <w:spacing w:before="0" w:beforeAutospacing="0" w:after="0" w:afterAutospacing="0"/>
              <w:outlineLvl w:val="0"/>
              <w:rPr>
                <w:b/>
                <w:bCs/>
              </w:rPr>
            </w:pPr>
            <w:r w:rsidRPr="002E0E97">
              <w:rPr>
                <w:b/>
                <w:bCs/>
              </w:rPr>
              <w:t>Office Address:</w:t>
            </w:r>
          </w:p>
        </w:tc>
        <w:tc>
          <w:tcPr>
            <w:tcW w:w="8172" w:type="dxa"/>
            <w:tcMar>
              <w:top w:w="58" w:type="dxa"/>
              <w:left w:w="115" w:type="dxa"/>
              <w:bottom w:w="58" w:type="dxa"/>
              <w:right w:w="115" w:type="dxa"/>
            </w:tcMar>
          </w:tcPr>
          <w:p w14:paraId="3EC816F2" w14:textId="1867634F" w:rsidR="00CB62DE" w:rsidRPr="00EC528A" w:rsidRDefault="00812A12" w:rsidP="00B4095F">
            <w:pPr>
              <w:pStyle w:val="NormalWeb"/>
              <w:spacing w:before="0" w:beforeAutospacing="0" w:after="0" w:afterAutospacing="0"/>
              <w:outlineLvl w:val="0"/>
            </w:pPr>
            <w:r>
              <w:t>K5.230</w:t>
            </w:r>
          </w:p>
        </w:tc>
      </w:tr>
      <w:tr w:rsidR="00CB62DE" w:rsidRPr="006E3CF6" w14:paraId="7E948164" w14:textId="77777777">
        <w:tc>
          <w:tcPr>
            <w:tcW w:w="2268" w:type="dxa"/>
            <w:tcMar>
              <w:top w:w="58" w:type="dxa"/>
              <w:left w:w="115" w:type="dxa"/>
              <w:bottom w:w="58" w:type="dxa"/>
              <w:right w:w="115" w:type="dxa"/>
            </w:tcMar>
          </w:tcPr>
          <w:p w14:paraId="32EE9510" w14:textId="77777777" w:rsidR="00CB62DE" w:rsidRPr="006E3CF6" w:rsidRDefault="00CB62DE" w:rsidP="00B4095F">
            <w:pPr>
              <w:pStyle w:val="NormalWeb"/>
              <w:spacing w:before="0" w:beforeAutospacing="0" w:after="0" w:afterAutospacing="0"/>
              <w:outlineLvl w:val="0"/>
              <w:rPr>
                <w:b/>
                <w:bCs/>
              </w:rPr>
            </w:pPr>
            <w:r w:rsidRPr="006E3CF6">
              <w:rPr>
                <w:b/>
                <w:bCs/>
              </w:rPr>
              <w:t xml:space="preserve">Work Phone: </w:t>
            </w:r>
          </w:p>
        </w:tc>
        <w:tc>
          <w:tcPr>
            <w:tcW w:w="8172" w:type="dxa"/>
            <w:tcMar>
              <w:top w:w="58" w:type="dxa"/>
              <w:left w:w="115" w:type="dxa"/>
              <w:bottom w:w="58" w:type="dxa"/>
              <w:right w:w="115" w:type="dxa"/>
            </w:tcMar>
          </w:tcPr>
          <w:p w14:paraId="05D95B69" w14:textId="20E9E332" w:rsidR="004C1F50" w:rsidRPr="00812A12" w:rsidRDefault="00812A12" w:rsidP="00B4095F">
            <w:pPr>
              <w:pStyle w:val="NormalWeb"/>
              <w:spacing w:before="0" w:beforeAutospacing="0" w:after="0" w:afterAutospacing="0"/>
              <w:outlineLvl w:val="0"/>
              <w:rPr>
                <w:bCs/>
              </w:rPr>
            </w:pPr>
            <w:r w:rsidRPr="00812A12">
              <w:rPr>
                <w:bCs/>
              </w:rPr>
              <w:t>214-6488850</w:t>
            </w:r>
          </w:p>
        </w:tc>
      </w:tr>
      <w:tr w:rsidR="00CB62DE" w:rsidRPr="002E0E97" w14:paraId="1D176415" w14:textId="77777777">
        <w:tc>
          <w:tcPr>
            <w:tcW w:w="2268" w:type="dxa"/>
            <w:tcMar>
              <w:top w:w="58" w:type="dxa"/>
              <w:left w:w="115" w:type="dxa"/>
              <w:bottom w:w="58" w:type="dxa"/>
              <w:right w:w="115" w:type="dxa"/>
            </w:tcMar>
          </w:tcPr>
          <w:p w14:paraId="2234C6A7" w14:textId="77777777" w:rsidR="00CB62DE" w:rsidRPr="002E0E97" w:rsidRDefault="00CB62DE" w:rsidP="00B4095F">
            <w:pPr>
              <w:pStyle w:val="NormalWeb"/>
              <w:spacing w:before="0" w:beforeAutospacing="0" w:after="0" w:afterAutospacing="0"/>
              <w:outlineLvl w:val="0"/>
              <w:rPr>
                <w:b/>
                <w:bCs/>
              </w:rPr>
            </w:pPr>
            <w:r w:rsidRPr="002E0E97">
              <w:rPr>
                <w:b/>
                <w:bCs/>
              </w:rPr>
              <w:t xml:space="preserve">Work E-Mail: </w:t>
            </w:r>
          </w:p>
        </w:tc>
        <w:tc>
          <w:tcPr>
            <w:tcW w:w="8172" w:type="dxa"/>
            <w:tcMar>
              <w:top w:w="58" w:type="dxa"/>
              <w:left w:w="115" w:type="dxa"/>
              <w:bottom w:w="58" w:type="dxa"/>
              <w:right w:w="115" w:type="dxa"/>
            </w:tcMar>
          </w:tcPr>
          <w:p w14:paraId="5DB5A8BE" w14:textId="6B2B5DA2" w:rsidR="00CB62DE" w:rsidRPr="00EC528A" w:rsidRDefault="00812A12" w:rsidP="00B4095F">
            <w:pPr>
              <w:pStyle w:val="NormalWeb"/>
              <w:spacing w:before="0" w:beforeAutospacing="0" w:after="0" w:afterAutospacing="0"/>
              <w:outlineLvl w:val="0"/>
            </w:pPr>
            <w:r>
              <w:t>Jinhai.Yu@UTSouth</w:t>
            </w:r>
            <w:r w:rsidR="007D5569">
              <w:rPr>
                <w:rFonts w:hint="eastAsia"/>
                <w:lang w:eastAsia="zh-CN"/>
              </w:rPr>
              <w:t>w</w:t>
            </w:r>
            <w:r>
              <w:t>estern.edu</w:t>
            </w:r>
          </w:p>
        </w:tc>
      </w:tr>
      <w:tr w:rsidR="008F7180" w:rsidRPr="002E0E97" w14:paraId="7C7032DA" w14:textId="77777777">
        <w:tc>
          <w:tcPr>
            <w:tcW w:w="2268" w:type="dxa"/>
            <w:tcMar>
              <w:top w:w="58" w:type="dxa"/>
              <w:left w:w="115" w:type="dxa"/>
              <w:bottom w:w="58" w:type="dxa"/>
              <w:right w:w="115" w:type="dxa"/>
            </w:tcMar>
          </w:tcPr>
          <w:p w14:paraId="2567320D" w14:textId="77777777" w:rsidR="008F7180" w:rsidRPr="002E0E97" w:rsidRDefault="008F7180" w:rsidP="00B4095F">
            <w:pPr>
              <w:pStyle w:val="NormalWeb"/>
              <w:spacing w:before="0" w:beforeAutospacing="0" w:after="0" w:afterAutospacing="0"/>
              <w:outlineLvl w:val="0"/>
              <w:rPr>
                <w:b/>
                <w:bCs/>
              </w:rPr>
            </w:pPr>
          </w:p>
        </w:tc>
        <w:tc>
          <w:tcPr>
            <w:tcW w:w="8172" w:type="dxa"/>
            <w:tcMar>
              <w:top w:w="58" w:type="dxa"/>
              <w:left w:w="115" w:type="dxa"/>
              <w:bottom w:w="58" w:type="dxa"/>
              <w:right w:w="115" w:type="dxa"/>
            </w:tcMar>
          </w:tcPr>
          <w:p w14:paraId="02F7EDF3" w14:textId="77777777" w:rsidR="008F7180" w:rsidRPr="00EC528A" w:rsidRDefault="008F7180" w:rsidP="00B4095F">
            <w:pPr>
              <w:pStyle w:val="NormalWeb"/>
              <w:spacing w:before="0" w:beforeAutospacing="0" w:after="0" w:afterAutospacing="0"/>
              <w:outlineLvl w:val="0"/>
            </w:pPr>
          </w:p>
        </w:tc>
      </w:tr>
    </w:tbl>
    <w:p w14:paraId="775BE282" w14:textId="77777777" w:rsidR="00AD06BD" w:rsidRDefault="00AD06BD" w:rsidP="00B4095F"/>
    <w:p w14:paraId="1B0D9C2D" w14:textId="77777777" w:rsidR="00B52E2D" w:rsidRPr="00B4095F" w:rsidRDefault="00B52E2D" w:rsidP="00B4095F">
      <w:pPr>
        <w:rPr>
          <w:b/>
          <w:u w:val="single"/>
        </w:rPr>
      </w:pPr>
      <w:r w:rsidRPr="00B4095F">
        <w:rPr>
          <w:b/>
          <w:u w:val="single"/>
        </w:rPr>
        <w:t>Education</w:t>
      </w:r>
    </w:p>
    <w:p w14:paraId="742D2311" w14:textId="77777777" w:rsidR="00B4095F" w:rsidRPr="00B52E2D" w:rsidRDefault="00B4095F" w:rsidP="00B4095F">
      <w:pPr>
        <w:rPr>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2E0E97" w14:paraId="7D253394"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A73047" w14:textId="77777777" w:rsidR="00CB62DE" w:rsidRPr="002E0E97" w:rsidRDefault="00CB62DE" w:rsidP="00B4095F">
            <w:pPr>
              <w:pStyle w:val="CommentText"/>
              <w:tabs>
                <w:tab w:val="left" w:pos="3214"/>
              </w:tabs>
              <w:outlineLvl w:val="0"/>
              <w:rPr>
                <w:b/>
                <w:bCs/>
                <w:sz w:val="24"/>
                <w:szCs w:val="24"/>
              </w:rPr>
            </w:pPr>
            <w:r w:rsidRPr="002E0E97">
              <w:rPr>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F3B2E3" w14:textId="77777777" w:rsidR="00CB62DE" w:rsidRPr="002E0E97" w:rsidRDefault="00CB62DE" w:rsidP="00B4095F">
            <w:pPr>
              <w:pStyle w:val="NormalWeb"/>
              <w:spacing w:before="0" w:beforeAutospacing="0" w:after="0" w:afterAutospacing="0"/>
              <w:outlineLvl w:val="0"/>
            </w:pPr>
            <w:r w:rsidRPr="002E0E97">
              <w:t>Degree</w:t>
            </w:r>
          </w:p>
          <w:p w14:paraId="3A2296EB" w14:textId="77777777" w:rsidR="00CB62DE" w:rsidRPr="002E0E97" w:rsidRDefault="00CB62DE" w:rsidP="00B4095F">
            <w:pPr>
              <w:pStyle w:val="NormalWeb"/>
              <w:spacing w:before="0" w:beforeAutospacing="0" w:after="0" w:afterAutospacing="0"/>
              <w:outlineLvl w:val="0"/>
              <w:rPr>
                <w:b/>
                <w:bCs/>
              </w:rPr>
            </w:pPr>
            <w:r w:rsidRPr="002E0E97">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0487CA" w14:textId="77777777" w:rsidR="00CB62DE" w:rsidRPr="002E0E97" w:rsidRDefault="00CB62DE" w:rsidP="00B4095F">
            <w:pPr>
              <w:pStyle w:val="NormalWeb"/>
              <w:spacing w:before="0" w:beforeAutospacing="0" w:after="0" w:afterAutospacing="0"/>
              <w:outlineLvl w:val="0"/>
            </w:pPr>
            <w:r w:rsidRPr="002E0E97">
              <w:t>Field of Study</w:t>
            </w:r>
          </w:p>
          <w:p w14:paraId="34DA4918" w14:textId="77777777" w:rsidR="00CB62DE" w:rsidRPr="002E0E97" w:rsidRDefault="00CB62DE" w:rsidP="00B4095F">
            <w:pPr>
              <w:pStyle w:val="NormalWeb"/>
              <w:spacing w:before="0" w:beforeAutospacing="0" w:after="0" w:afterAutospacing="0"/>
              <w:outlineLvl w:val="0"/>
              <w:rPr>
                <w:b/>
                <w:bCs/>
              </w:rPr>
            </w:pPr>
            <w:r w:rsidRPr="002E0E97">
              <w:t>(Thesis advisor for PhDs)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32E919" w14:textId="77777777" w:rsidR="00CB62DE" w:rsidRPr="002E0E97" w:rsidRDefault="00CB62DE" w:rsidP="00B4095F">
            <w:pPr>
              <w:pStyle w:val="NormalWeb"/>
              <w:spacing w:before="0" w:beforeAutospacing="0" w:after="0" w:afterAutospacing="0"/>
              <w:outlineLvl w:val="0"/>
              <w:rPr>
                <w:b/>
                <w:bCs/>
              </w:rPr>
            </w:pPr>
            <w:r w:rsidRPr="002E0E97">
              <w:t>Institution</w:t>
            </w:r>
          </w:p>
        </w:tc>
      </w:tr>
      <w:tr w:rsidR="00812A12" w:rsidRPr="002E0E97" w14:paraId="0D9D4725"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38AA42" w14:textId="358E1C1A" w:rsidR="00812A12" w:rsidRPr="002E0E97" w:rsidRDefault="00812A12" w:rsidP="00812A12">
            <w:pPr>
              <w:pStyle w:val="CommentText"/>
              <w:tabs>
                <w:tab w:val="left" w:pos="3214"/>
              </w:tabs>
              <w:outlineLvl w:val="0"/>
              <w:rPr>
                <w:sz w:val="24"/>
                <w:szCs w:val="24"/>
              </w:rPr>
            </w:pPr>
            <w:r>
              <w:rPr>
                <w:sz w:val="24"/>
                <w:szCs w:val="24"/>
              </w:rPr>
              <w:t>2008-2014</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E85242" w14:textId="27D8EA16" w:rsidR="00812A12" w:rsidRPr="006F28B6" w:rsidRDefault="00812A12" w:rsidP="00812A12">
            <w:pPr>
              <w:pStyle w:val="NormalWeb"/>
              <w:spacing w:before="0" w:beforeAutospacing="0" w:after="0" w:afterAutospacing="0"/>
              <w:outlineLvl w:val="0"/>
            </w:pPr>
            <w:r>
              <w:t>Ph.D.</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8953B" w14:textId="47992343" w:rsidR="00812A12" w:rsidRPr="002E0E97" w:rsidRDefault="00812A12" w:rsidP="00812A12">
            <w:pPr>
              <w:pStyle w:val="NormalWeb"/>
              <w:spacing w:before="0" w:beforeAutospacing="0" w:after="0" w:afterAutospacing="0"/>
              <w:outlineLvl w:val="0"/>
            </w:pPr>
            <w:r>
              <w:t>Pingsheng Liu</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71B79A" w14:textId="58EA8FF0" w:rsidR="00812A12" w:rsidRPr="002E0E97" w:rsidRDefault="00812A12" w:rsidP="00812A12">
            <w:pPr>
              <w:pStyle w:val="NormalWeb"/>
              <w:spacing w:before="0" w:beforeAutospacing="0" w:after="0" w:afterAutospacing="0"/>
              <w:outlineLvl w:val="0"/>
            </w:pPr>
            <w:r>
              <w:t>Institute of Biophysics, Chinese Academy of Sciences, Beijing, China</w:t>
            </w:r>
          </w:p>
        </w:tc>
      </w:tr>
      <w:tr w:rsidR="00812A12" w:rsidRPr="002E0E97" w14:paraId="574F19F7"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BF12C2" w14:textId="66F25141" w:rsidR="00812A12" w:rsidRPr="002E0E97" w:rsidRDefault="00812A12" w:rsidP="00812A12">
            <w:pPr>
              <w:pStyle w:val="CommentText"/>
              <w:tabs>
                <w:tab w:val="left" w:pos="3214"/>
              </w:tabs>
              <w:outlineLvl w:val="0"/>
              <w:rPr>
                <w:sz w:val="24"/>
                <w:szCs w:val="24"/>
              </w:rPr>
            </w:pPr>
            <w:r>
              <w:rPr>
                <w:sz w:val="24"/>
                <w:szCs w:val="24"/>
              </w:rPr>
              <w:t>2004-2008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3F7EC8" w14:textId="7924068C" w:rsidR="00812A12" w:rsidRPr="006F28B6" w:rsidRDefault="00812A12" w:rsidP="00812A12">
            <w:pPr>
              <w:pStyle w:val="NormalWeb"/>
              <w:spacing w:before="0" w:beforeAutospacing="0" w:after="0" w:afterAutospacing="0"/>
              <w:outlineLvl w:val="0"/>
            </w:pPr>
            <w:r>
              <w:t>B.S.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EFA47D" w14:textId="761C2430" w:rsidR="00812A12" w:rsidRPr="002E0E97" w:rsidRDefault="00812A12" w:rsidP="00812A12">
            <w:pPr>
              <w:pStyle w:val="NormalWeb"/>
              <w:spacing w:before="0" w:beforeAutospacing="0" w:after="0" w:afterAutospacing="0"/>
              <w:outlineLvl w:val="0"/>
            </w:pPr>
            <w:r>
              <w:t>Biology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85FD31" w14:textId="30A5450B" w:rsidR="00812A12" w:rsidRPr="002E0E97" w:rsidRDefault="00812A12" w:rsidP="00812A12">
            <w:pPr>
              <w:pStyle w:val="NormalWeb"/>
              <w:spacing w:before="0" w:beforeAutospacing="0" w:after="0" w:afterAutospacing="0"/>
              <w:outlineLvl w:val="0"/>
            </w:pPr>
            <w:r>
              <w:t>Lanzhou University, Lanzhou, China</w:t>
            </w:r>
          </w:p>
        </w:tc>
      </w:tr>
    </w:tbl>
    <w:p w14:paraId="19F18AC4" w14:textId="77777777" w:rsidR="00B52E2D" w:rsidRDefault="00B52E2D" w:rsidP="00B4095F">
      <w:pPr>
        <w:rPr>
          <w:b/>
        </w:rPr>
      </w:pPr>
    </w:p>
    <w:p w14:paraId="626534D4" w14:textId="033B7AC6" w:rsidR="00B52E2D" w:rsidRDefault="00B52E2D" w:rsidP="00B4095F">
      <w:pPr>
        <w:rPr>
          <w:rFonts w:hint="eastAsia"/>
          <w:lang w:eastAsia="zh-CN"/>
        </w:rPr>
      </w:pPr>
      <w:r w:rsidRPr="00B4095F">
        <w:rPr>
          <w:b/>
          <w:u w:val="single"/>
        </w:rPr>
        <w:t xml:space="preserve">Postdoctoral </w:t>
      </w:r>
      <w:r w:rsidRPr="008367FF">
        <w:rPr>
          <w:b/>
          <w:u w:val="single"/>
        </w:rPr>
        <w:t>Training</w:t>
      </w:r>
      <w:r w:rsidRPr="008367FF">
        <w:rPr>
          <w:b/>
        </w:rPr>
        <w:t xml:space="preserve"> </w:t>
      </w:r>
    </w:p>
    <w:p w14:paraId="5FA8889F" w14:textId="77777777" w:rsidR="00B4095F" w:rsidRPr="00B52E2D"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2E0E97" w14:paraId="60E7D549"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E3345" w14:textId="77777777" w:rsidR="00853CA3" w:rsidRPr="00DB592C" w:rsidRDefault="00853CA3" w:rsidP="00B4095F">
            <w:pPr>
              <w:pStyle w:val="CommentText"/>
              <w:tabs>
                <w:tab w:val="left" w:pos="3214"/>
              </w:tabs>
              <w:outlineLvl w:val="0"/>
              <w:rPr>
                <w:sz w:val="24"/>
                <w:szCs w:val="24"/>
              </w:rPr>
            </w:pPr>
            <w:r w:rsidRPr="00DB592C">
              <w:rPr>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1D367" w14:textId="77777777" w:rsidR="00853CA3" w:rsidRPr="00DB592C" w:rsidRDefault="00853CA3" w:rsidP="00B4095F">
            <w:pPr>
              <w:pStyle w:val="NormalWeb"/>
              <w:spacing w:before="0" w:beforeAutospacing="0" w:after="0" w:afterAutospacing="0"/>
              <w:outlineLvl w:val="0"/>
            </w:pPr>
            <w:r w:rsidRPr="00DB592C">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8017D" w14:textId="77777777" w:rsidR="00853CA3" w:rsidRPr="00DB592C" w:rsidRDefault="00853CA3" w:rsidP="00B4095F">
            <w:pPr>
              <w:pStyle w:val="NormalWeb"/>
              <w:spacing w:before="0" w:beforeAutospacing="0" w:after="0" w:afterAutospacing="0"/>
              <w:outlineLvl w:val="0"/>
            </w:pPr>
            <w:r w:rsidRPr="00DB592C">
              <w:t>Specialty/Discipline</w:t>
            </w:r>
          </w:p>
          <w:p w14:paraId="54CE07FA" w14:textId="6FE41F06" w:rsidR="00853CA3" w:rsidRPr="00DB592C" w:rsidRDefault="00853CA3" w:rsidP="00B4095F">
            <w:pPr>
              <w:pStyle w:val="NormalWeb"/>
              <w:spacing w:before="0" w:beforeAutospacing="0" w:after="0" w:afterAutospacing="0"/>
              <w:outlineLvl w:val="0"/>
            </w:pPr>
            <w:r w:rsidRPr="00DB592C">
              <w:t>(Lab PI for postdoc</w:t>
            </w:r>
            <w:r w:rsidR="000970F9">
              <w:t xml:space="preserve"> fellows</w:t>
            </w:r>
            <w:r w:rsidRPr="00DB592C">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14ED7D" w14:textId="77777777" w:rsidR="00853CA3" w:rsidRPr="00DB592C" w:rsidRDefault="00853CA3" w:rsidP="00B4095F">
            <w:pPr>
              <w:pStyle w:val="NormalWeb"/>
              <w:spacing w:before="0" w:beforeAutospacing="0" w:after="0" w:afterAutospacing="0"/>
              <w:outlineLvl w:val="0"/>
            </w:pPr>
            <w:r w:rsidRPr="00DB592C">
              <w:t>Institution</w:t>
            </w:r>
          </w:p>
        </w:tc>
      </w:tr>
      <w:tr w:rsidR="00812A12" w:rsidRPr="002E0E97" w14:paraId="3F6D7083"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EE3B8B" w14:textId="7C78A119" w:rsidR="00812A12" w:rsidRPr="00DB592C" w:rsidRDefault="00812A12" w:rsidP="00812A12">
            <w:pPr>
              <w:pStyle w:val="CommentText"/>
              <w:tabs>
                <w:tab w:val="left" w:pos="3214"/>
              </w:tabs>
              <w:outlineLvl w:val="0"/>
              <w:rPr>
                <w:sz w:val="24"/>
                <w:szCs w:val="24"/>
              </w:rPr>
            </w:pPr>
            <w:r>
              <w:rPr>
                <w:sz w:val="24"/>
                <w:szCs w:val="24"/>
              </w:rPr>
              <w:t>2018-2021</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6F1E29" w14:textId="3AC92BA7" w:rsidR="00812A12" w:rsidRPr="00DB592C" w:rsidRDefault="00812A12" w:rsidP="00812A12">
            <w:pPr>
              <w:pStyle w:val="NormalWeb"/>
              <w:spacing w:before="0" w:beforeAutospacing="0" w:after="0" w:afterAutospacing="0"/>
              <w:outlineLvl w:val="0"/>
            </w:pPr>
            <w:r>
              <w:t>Postdoc</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E4DC7F" w14:textId="529C6AFA" w:rsidR="00812A12" w:rsidRPr="00DB592C" w:rsidRDefault="00812A12" w:rsidP="00812A12">
            <w:pPr>
              <w:pStyle w:val="NormalWeb"/>
              <w:spacing w:before="0" w:beforeAutospacing="0" w:after="0" w:afterAutospacing="0"/>
              <w:outlineLvl w:val="0"/>
            </w:pPr>
            <w:r>
              <w:t>Rodney Infante</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EBA031" w14:textId="55C0D355" w:rsidR="00812A12" w:rsidRPr="00DB592C" w:rsidRDefault="00812A12" w:rsidP="00812A12">
            <w:pPr>
              <w:pStyle w:val="NormalWeb"/>
              <w:spacing w:before="0" w:beforeAutospacing="0" w:after="0" w:afterAutospacing="0"/>
              <w:outlineLvl w:val="0"/>
            </w:pPr>
            <w:r>
              <w:t>UT Southwestern Medical Center, TX, USA</w:t>
            </w:r>
          </w:p>
        </w:tc>
      </w:tr>
      <w:tr w:rsidR="00812A12" w:rsidRPr="002E0E97" w14:paraId="0390A74A" w14:textId="77777777" w:rsidTr="000970F9">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821CF7" w14:textId="61784DE7" w:rsidR="00812A12" w:rsidRPr="00DB592C" w:rsidRDefault="00812A12" w:rsidP="00812A12">
            <w:pPr>
              <w:pStyle w:val="CommentText"/>
              <w:tabs>
                <w:tab w:val="left" w:pos="3214"/>
              </w:tabs>
              <w:outlineLvl w:val="0"/>
              <w:rPr>
                <w:sz w:val="24"/>
                <w:szCs w:val="24"/>
              </w:rPr>
            </w:pPr>
            <w:r>
              <w:rPr>
                <w:sz w:val="24"/>
                <w:szCs w:val="24"/>
              </w:rPr>
              <w:t>2014-2018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9E2597" w14:textId="5F517194" w:rsidR="00812A12" w:rsidRPr="00DB592C" w:rsidRDefault="00812A12" w:rsidP="00812A12">
            <w:pPr>
              <w:pStyle w:val="NormalWeb"/>
              <w:spacing w:before="0" w:beforeAutospacing="0" w:after="0" w:afterAutospacing="0"/>
              <w:outlineLvl w:val="0"/>
            </w:pPr>
            <w:r>
              <w:t>Postdoc</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150758" w14:textId="527F32BA" w:rsidR="00812A12" w:rsidRPr="00DB592C" w:rsidRDefault="00812A12" w:rsidP="00812A12">
            <w:pPr>
              <w:pStyle w:val="NormalWeb"/>
              <w:spacing w:before="0" w:beforeAutospacing="0" w:after="0" w:afterAutospacing="0"/>
              <w:outlineLvl w:val="0"/>
            </w:pPr>
            <w:r>
              <w:t>Peng Li</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C78D9D" w14:textId="74C9DBFD" w:rsidR="00812A12" w:rsidRPr="00DB592C" w:rsidRDefault="00812A12" w:rsidP="00812A12">
            <w:pPr>
              <w:pStyle w:val="NormalWeb"/>
              <w:spacing w:before="0" w:beforeAutospacing="0" w:after="0" w:afterAutospacing="0"/>
              <w:outlineLvl w:val="0"/>
            </w:pPr>
            <w:r>
              <w:t>Tsinghua University, Beijing, China</w:t>
            </w:r>
          </w:p>
        </w:tc>
      </w:tr>
    </w:tbl>
    <w:p w14:paraId="13A6F096" w14:textId="43435510" w:rsidR="005025DE" w:rsidRDefault="005025DE" w:rsidP="00B4095F"/>
    <w:p w14:paraId="0923326A" w14:textId="6E800762" w:rsidR="0094239E" w:rsidRDefault="0094239E" w:rsidP="00B4095F">
      <w:r>
        <w:rPr>
          <w:b/>
          <w:bCs/>
          <w:u w:val="single"/>
        </w:rPr>
        <w:t>Professional Development Training</w:t>
      </w:r>
      <w:r>
        <w:t xml:space="preserve">  </w:t>
      </w:r>
    </w:p>
    <w:p w14:paraId="40A82872" w14:textId="0E248259" w:rsidR="0094239E" w:rsidRDefault="0094239E" w:rsidP="00B4095F"/>
    <w:tbl>
      <w:tblPr>
        <w:tblStyle w:val="TableGrid"/>
        <w:tblW w:w="10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5079"/>
        <w:gridCol w:w="3690"/>
      </w:tblGrid>
      <w:tr w:rsidR="0094239E" w:rsidRPr="002E0E97" w14:paraId="1D1C6949" w14:textId="77777777" w:rsidTr="0094239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B0383" w14:textId="77777777" w:rsidR="0094239E" w:rsidRPr="00DB592C" w:rsidRDefault="0094239E" w:rsidP="00B458BF">
            <w:pPr>
              <w:pStyle w:val="CommentText"/>
              <w:tabs>
                <w:tab w:val="left" w:pos="3214"/>
              </w:tabs>
              <w:outlineLvl w:val="0"/>
              <w:rPr>
                <w:sz w:val="24"/>
                <w:szCs w:val="24"/>
              </w:rPr>
            </w:pPr>
            <w:r w:rsidRPr="00DB592C">
              <w:rPr>
                <w:sz w:val="24"/>
                <w:szCs w:val="24"/>
              </w:rPr>
              <w:t>Year(s)</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8BA528" w14:textId="3D64D576" w:rsidR="0094239E" w:rsidRPr="00DB592C" w:rsidRDefault="0094239E" w:rsidP="00B458BF">
            <w:pPr>
              <w:pStyle w:val="NormalWeb"/>
              <w:spacing w:before="0" w:beforeAutospacing="0" w:after="0" w:afterAutospacing="0"/>
              <w:outlineLvl w:val="0"/>
            </w:pPr>
            <w:r>
              <w:t>Course or Program, Degree if any</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4BE1A5" w14:textId="77777777" w:rsidR="0094239E" w:rsidRPr="00DB592C" w:rsidRDefault="0094239E" w:rsidP="00B458BF">
            <w:pPr>
              <w:pStyle w:val="NormalWeb"/>
              <w:spacing w:before="0" w:beforeAutospacing="0" w:after="0" w:afterAutospacing="0"/>
              <w:outlineLvl w:val="0"/>
            </w:pPr>
            <w:r w:rsidRPr="00DB592C">
              <w:t>Institution</w:t>
            </w:r>
          </w:p>
        </w:tc>
      </w:tr>
      <w:tr w:rsidR="00976837" w:rsidRPr="002E0E97" w14:paraId="573D0B66" w14:textId="77777777" w:rsidTr="0094239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A273E8" w14:textId="5E31299D" w:rsidR="00976837" w:rsidRPr="00DB592C" w:rsidRDefault="00976837" w:rsidP="00976837">
            <w:pPr>
              <w:pStyle w:val="CommentText"/>
              <w:tabs>
                <w:tab w:val="left" w:pos="3214"/>
              </w:tabs>
              <w:outlineLvl w:val="0"/>
              <w:rPr>
                <w:sz w:val="24"/>
                <w:szCs w:val="24"/>
              </w:rPr>
            </w:pPr>
            <w:r>
              <w:rPr>
                <w:sz w:val="24"/>
                <w:szCs w:val="24"/>
              </w:rPr>
              <w:t>2025</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454204" w14:textId="1F165A08" w:rsidR="00976837" w:rsidRDefault="00976837" w:rsidP="00976837">
            <w:pPr>
              <w:pStyle w:val="NormalWeb"/>
              <w:spacing w:before="0" w:beforeAutospacing="0" w:after="0" w:afterAutospacing="0"/>
              <w:outlineLvl w:val="0"/>
            </w:pPr>
            <w:r>
              <w:t>The UT Southwestern Research Mentor Training Program</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88B142" w14:textId="77777777" w:rsidR="00976837" w:rsidRDefault="00976837" w:rsidP="00976837">
            <w:pPr>
              <w:pStyle w:val="NormalWeb"/>
              <w:spacing w:before="0" w:beforeAutospacing="0" w:after="0" w:afterAutospacing="0"/>
              <w:outlineLvl w:val="0"/>
            </w:pPr>
            <w:r>
              <w:t>UT Southwestern Medical Center,</w:t>
            </w:r>
          </w:p>
          <w:p w14:paraId="76027485" w14:textId="12050E57" w:rsidR="00976837" w:rsidRPr="00DB592C" w:rsidRDefault="00976837" w:rsidP="00976837">
            <w:pPr>
              <w:pStyle w:val="NormalWeb"/>
              <w:spacing w:before="0" w:beforeAutospacing="0" w:after="0" w:afterAutospacing="0"/>
              <w:outlineLvl w:val="0"/>
            </w:pPr>
            <w:r>
              <w:t>TX, USA</w:t>
            </w:r>
          </w:p>
        </w:tc>
      </w:tr>
      <w:tr w:rsidR="00976837" w:rsidRPr="002E0E97" w14:paraId="53B6C34E" w14:textId="77777777" w:rsidTr="0094239E">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FFD030" w14:textId="3BB5EFDE" w:rsidR="00976837" w:rsidRPr="00DB592C" w:rsidRDefault="00976837" w:rsidP="00976837">
            <w:pPr>
              <w:pStyle w:val="CommentText"/>
              <w:tabs>
                <w:tab w:val="left" w:pos="3214"/>
              </w:tabs>
              <w:outlineLvl w:val="0"/>
              <w:rPr>
                <w:sz w:val="24"/>
                <w:szCs w:val="24"/>
              </w:rPr>
            </w:pPr>
            <w:r>
              <w:rPr>
                <w:sz w:val="24"/>
                <w:szCs w:val="24"/>
              </w:rPr>
              <w:t>2024</w:t>
            </w:r>
          </w:p>
        </w:tc>
        <w:tc>
          <w:tcPr>
            <w:tcW w:w="507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B65598" w14:textId="78C0BB28" w:rsidR="00976837" w:rsidRPr="00DB592C" w:rsidRDefault="00976837" w:rsidP="00976837">
            <w:pPr>
              <w:pStyle w:val="NormalWeb"/>
              <w:spacing w:before="0" w:beforeAutospacing="0" w:after="0" w:afterAutospacing="0"/>
              <w:outlineLvl w:val="0"/>
            </w:pPr>
            <w:r>
              <w:t>Faculty Development EDU 2024</w:t>
            </w:r>
          </w:p>
        </w:tc>
        <w:tc>
          <w:tcPr>
            <w:tcW w:w="369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DF959D" w14:textId="77777777" w:rsidR="00976837" w:rsidRDefault="00976837" w:rsidP="00976837">
            <w:pPr>
              <w:pStyle w:val="NormalWeb"/>
              <w:spacing w:before="0" w:beforeAutospacing="0" w:after="0" w:afterAutospacing="0"/>
              <w:outlineLvl w:val="0"/>
            </w:pPr>
            <w:r>
              <w:t>UT Southwestern Medical Center,</w:t>
            </w:r>
          </w:p>
          <w:p w14:paraId="03FE740D" w14:textId="40B8AE43" w:rsidR="00976837" w:rsidRPr="00DB592C" w:rsidRDefault="00976837" w:rsidP="00976837">
            <w:pPr>
              <w:pStyle w:val="NormalWeb"/>
              <w:spacing w:before="0" w:beforeAutospacing="0" w:after="0" w:afterAutospacing="0"/>
              <w:outlineLvl w:val="0"/>
            </w:pPr>
            <w:r>
              <w:t>TX, USA</w:t>
            </w:r>
          </w:p>
        </w:tc>
      </w:tr>
    </w:tbl>
    <w:p w14:paraId="284D8315" w14:textId="77777777" w:rsidR="0094239E" w:rsidRDefault="0094239E" w:rsidP="00B4095F"/>
    <w:p w14:paraId="7E200927" w14:textId="77777777" w:rsidR="005025DE" w:rsidRPr="00B4095F" w:rsidRDefault="00B52E2D" w:rsidP="00B4095F">
      <w:pPr>
        <w:rPr>
          <w:u w:val="single"/>
        </w:rPr>
      </w:pPr>
      <w:r w:rsidRPr="00B4095F">
        <w:rPr>
          <w:b/>
          <w:bCs/>
          <w:u w:val="single"/>
        </w:rPr>
        <w:t>Faculty Academic Appointments</w:t>
      </w:r>
    </w:p>
    <w:p w14:paraId="2E0C0924" w14:textId="77777777" w:rsidR="005025DE" w:rsidRDefault="005025DE"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CB62DE" w:rsidRPr="002E0E97" w14:paraId="247D3096"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77A2E" w14:textId="77777777" w:rsidR="00CB62DE" w:rsidRPr="002E0E97" w:rsidRDefault="006F28B6" w:rsidP="00B4095F">
            <w:pPr>
              <w:pStyle w:val="CommentText"/>
              <w:tabs>
                <w:tab w:val="left" w:pos="3214"/>
              </w:tabs>
              <w:outlineLvl w:val="0"/>
              <w:rPr>
                <w:sz w:val="24"/>
                <w:szCs w:val="24"/>
              </w:rPr>
            </w:pPr>
            <w:r w:rsidRPr="002E0E97">
              <w:rPr>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A6F0DA" w14:textId="77777777" w:rsidR="00CB62DE" w:rsidRPr="002E0E97" w:rsidRDefault="006F28B6" w:rsidP="00B4095F">
            <w:pPr>
              <w:pStyle w:val="NormalWeb"/>
              <w:spacing w:before="0" w:beforeAutospacing="0" w:after="0" w:afterAutospacing="0"/>
              <w:outlineLvl w:val="0"/>
            </w:pPr>
            <w:r w:rsidRPr="002E0E97">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72D999" w14:textId="77777777" w:rsidR="00CB62DE" w:rsidRPr="002E0E97" w:rsidRDefault="006F28B6" w:rsidP="00B4095F">
            <w:pPr>
              <w:pStyle w:val="NormalWeb"/>
              <w:spacing w:before="0" w:beforeAutospacing="0" w:after="0" w:afterAutospacing="0"/>
              <w:outlineLvl w:val="0"/>
            </w:pPr>
            <w:r w:rsidRPr="002E0E97">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12ACD4" w14:textId="77777777" w:rsidR="00CB62DE" w:rsidRPr="002E0E97" w:rsidRDefault="006F28B6" w:rsidP="00B4095F">
            <w:pPr>
              <w:pStyle w:val="NormalWeb"/>
              <w:spacing w:before="0" w:beforeAutospacing="0" w:after="0" w:afterAutospacing="0"/>
              <w:outlineLvl w:val="0"/>
            </w:pPr>
            <w:r w:rsidRPr="002E0E97">
              <w:t>Academic Institution</w:t>
            </w:r>
          </w:p>
        </w:tc>
      </w:tr>
      <w:tr w:rsidR="00976837" w:rsidRPr="002E0E97" w14:paraId="63F753C2"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531EB4" w14:textId="736DF7AE" w:rsidR="00976837" w:rsidRPr="002E0E97" w:rsidRDefault="00976837" w:rsidP="00976837">
            <w:pPr>
              <w:pStyle w:val="CommentText"/>
              <w:tabs>
                <w:tab w:val="left" w:pos="3214"/>
              </w:tabs>
              <w:outlineLvl w:val="0"/>
              <w:rPr>
                <w:sz w:val="24"/>
                <w:szCs w:val="24"/>
              </w:rPr>
            </w:pPr>
            <w:r>
              <w:rPr>
                <w:sz w:val="24"/>
                <w:szCs w:val="24"/>
              </w:rPr>
              <w:t>2022-</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DB40F" w14:textId="5CC3CE7D" w:rsidR="00976837" w:rsidRPr="002E0E97" w:rsidRDefault="00976837" w:rsidP="00976837">
            <w:pPr>
              <w:pStyle w:val="NormalWeb"/>
              <w:spacing w:before="0" w:beforeAutospacing="0" w:after="0" w:afterAutospacing="0"/>
              <w:outlineLvl w:val="0"/>
            </w:pPr>
            <w:r>
              <w:t>Assistant Professor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818708" w14:textId="5ED56A0C" w:rsidR="00976837" w:rsidRPr="002E0E97" w:rsidRDefault="00976837" w:rsidP="00976837">
            <w:pPr>
              <w:pStyle w:val="NormalWeb"/>
              <w:spacing w:before="0" w:beforeAutospacing="0" w:after="0" w:afterAutospacing="0"/>
              <w:outlineLvl w:val="0"/>
            </w:pPr>
            <w:r>
              <w:t>Center for Human Nutrition</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2600BF" w14:textId="3C5249FE" w:rsidR="00976837" w:rsidRPr="002E0E97" w:rsidRDefault="00976837" w:rsidP="00976837">
            <w:pPr>
              <w:pStyle w:val="NormalWeb"/>
              <w:spacing w:before="0" w:beforeAutospacing="0" w:after="0" w:afterAutospacing="0"/>
              <w:outlineLvl w:val="0"/>
            </w:pPr>
            <w:r>
              <w:t>UT Southwestern Medical Center, TX, USA</w:t>
            </w:r>
          </w:p>
        </w:tc>
      </w:tr>
      <w:tr w:rsidR="00976837" w:rsidRPr="002E0E97" w14:paraId="52DEDAA9"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BDAFB9" w14:textId="0FD58503" w:rsidR="00976837" w:rsidRPr="002E0E97" w:rsidRDefault="00976837" w:rsidP="00976837">
            <w:pPr>
              <w:pStyle w:val="CommentText"/>
              <w:tabs>
                <w:tab w:val="left" w:pos="3214"/>
              </w:tabs>
              <w:outlineLvl w:val="0"/>
              <w:rPr>
                <w:sz w:val="24"/>
                <w:szCs w:val="24"/>
              </w:rPr>
            </w:pPr>
            <w:r>
              <w:rPr>
                <w:sz w:val="24"/>
                <w:szCs w:val="24"/>
              </w:rPr>
              <w:t>2021-2022</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0B461E" w14:textId="0D5C722D" w:rsidR="00976837" w:rsidRPr="002E0E97" w:rsidRDefault="00976837" w:rsidP="00976837">
            <w:pPr>
              <w:pStyle w:val="NormalWeb"/>
              <w:spacing w:before="0" w:beforeAutospacing="0" w:after="0" w:afterAutospacing="0"/>
              <w:outlineLvl w:val="0"/>
            </w:pPr>
            <w:r>
              <w:t>Assistant Instructor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8DB4C1" w14:textId="2E94D0A9" w:rsidR="00976837" w:rsidRPr="002E0E97" w:rsidRDefault="00976837" w:rsidP="00976837">
            <w:pPr>
              <w:pStyle w:val="NormalWeb"/>
              <w:spacing w:before="0" w:beforeAutospacing="0" w:after="0" w:afterAutospacing="0"/>
              <w:outlineLvl w:val="0"/>
            </w:pPr>
            <w:r>
              <w:t>Center for Human Nutrition</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C3160" w14:textId="1E15B299" w:rsidR="00976837" w:rsidRPr="002E0E97" w:rsidRDefault="00976837" w:rsidP="00976837">
            <w:pPr>
              <w:pStyle w:val="NormalWeb"/>
              <w:spacing w:before="0" w:beforeAutospacing="0" w:after="0" w:afterAutospacing="0"/>
              <w:outlineLvl w:val="0"/>
            </w:pPr>
            <w:r>
              <w:t>UT Southwestern Medical Center, TX, USA</w:t>
            </w:r>
          </w:p>
        </w:tc>
      </w:tr>
    </w:tbl>
    <w:p w14:paraId="0D618313" w14:textId="77777777" w:rsidR="00551CC2" w:rsidRDefault="00551CC2" w:rsidP="00B4095F"/>
    <w:p w14:paraId="22A15D1F" w14:textId="77777777" w:rsidR="00D42B32" w:rsidRPr="00B4095F" w:rsidRDefault="00D42B32" w:rsidP="00D42B32">
      <w:pPr>
        <w:rPr>
          <w:b/>
          <w:bCs/>
          <w:u w:val="single"/>
        </w:rPr>
      </w:pPr>
      <w:r w:rsidRPr="00B4095F">
        <w:rPr>
          <w:b/>
          <w:bCs/>
          <w:u w:val="single"/>
        </w:rPr>
        <w:lastRenderedPageBreak/>
        <w:t>Honors and Awards</w:t>
      </w:r>
    </w:p>
    <w:p w14:paraId="237E28B5" w14:textId="77777777" w:rsidR="00D42B32" w:rsidRDefault="00D42B32" w:rsidP="00D42B32"/>
    <w:tbl>
      <w:tblPr>
        <w:tblW w:w="10445" w:type="dxa"/>
        <w:tblLook w:val="00A0" w:firstRow="1" w:lastRow="0" w:firstColumn="1" w:lastColumn="0" w:noHBand="0" w:noVBand="0"/>
      </w:tblPr>
      <w:tblGrid>
        <w:gridCol w:w="1668"/>
        <w:gridCol w:w="4359"/>
        <w:gridCol w:w="4418"/>
      </w:tblGrid>
      <w:tr w:rsidR="00D42B32" w:rsidRPr="00CD7F36" w14:paraId="106F2252" w14:textId="77777777" w:rsidTr="004502B7">
        <w:trPr>
          <w:trHeight w:val="31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EC754E" w14:textId="77777777" w:rsidR="00D42B32" w:rsidRPr="00CD7F36" w:rsidRDefault="00D42B32" w:rsidP="00532048">
            <w:pPr>
              <w:pStyle w:val="CommentText"/>
              <w:tabs>
                <w:tab w:val="left" w:pos="3214"/>
              </w:tabs>
              <w:outlineLvl w:val="0"/>
              <w:rPr>
                <w:sz w:val="24"/>
                <w:szCs w:val="24"/>
              </w:rPr>
            </w:pPr>
            <w:r w:rsidRPr="00CD7F36">
              <w:rPr>
                <w:sz w:val="24"/>
                <w:szCs w:val="24"/>
              </w:rPr>
              <w:t>Year</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5D0B1A" w14:textId="77777777" w:rsidR="00D42B32" w:rsidRPr="00CD7F36" w:rsidRDefault="00D42B32" w:rsidP="00532048">
            <w:pPr>
              <w:pStyle w:val="NormalWeb"/>
              <w:spacing w:before="0" w:beforeAutospacing="0" w:after="0" w:afterAutospacing="0"/>
              <w:outlineLvl w:val="0"/>
              <w:rPr>
                <w:highlight w:val="yellow"/>
              </w:rPr>
            </w:pPr>
            <w:r w:rsidRPr="002E0E97">
              <w:t>Name of Honor/</w:t>
            </w:r>
            <w:r>
              <w:t>Award</w:t>
            </w:r>
          </w:p>
        </w:tc>
        <w:tc>
          <w:tcPr>
            <w:tcW w:w="4418" w:type="dxa"/>
            <w:tcBorders>
              <w:top w:val="single" w:sz="2" w:space="0" w:color="999999"/>
              <w:left w:val="single" w:sz="2" w:space="0" w:color="999999"/>
              <w:bottom w:val="single" w:sz="2" w:space="0" w:color="999999"/>
              <w:right w:val="single" w:sz="2" w:space="0" w:color="999999"/>
            </w:tcBorders>
          </w:tcPr>
          <w:p w14:paraId="6F7FAF25" w14:textId="77777777" w:rsidR="00D42B32" w:rsidRPr="00B52E2D" w:rsidRDefault="00D42B32" w:rsidP="00532048">
            <w:pPr>
              <w:pStyle w:val="NormalWeb"/>
              <w:spacing w:before="0" w:beforeAutospacing="0" w:after="0" w:afterAutospacing="0"/>
              <w:outlineLvl w:val="0"/>
            </w:pPr>
            <w:r w:rsidRPr="002E0E97">
              <w:t>Awarding Organization</w:t>
            </w:r>
          </w:p>
        </w:tc>
      </w:tr>
      <w:tr w:rsidR="00DA72F7" w:rsidRPr="00CD7F36" w14:paraId="19ED5602" w14:textId="77777777" w:rsidTr="004502B7">
        <w:trPr>
          <w:trHeight w:val="31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44F451" w14:textId="0128DC31" w:rsidR="00DA72F7" w:rsidRPr="00CD7F36" w:rsidRDefault="00DA72F7" w:rsidP="00DA72F7">
            <w:pPr>
              <w:pStyle w:val="CommentText"/>
              <w:tabs>
                <w:tab w:val="left" w:pos="3214"/>
              </w:tabs>
              <w:outlineLvl w:val="0"/>
              <w:rPr>
                <w:sz w:val="24"/>
                <w:szCs w:val="24"/>
              </w:rPr>
            </w:pPr>
            <w:r>
              <w:rPr>
                <w:rFonts w:hint="eastAsia"/>
                <w:sz w:val="24"/>
                <w:szCs w:val="24"/>
                <w:lang w:eastAsia="zh-CN"/>
              </w:rPr>
              <w:t>2015-2018</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5D91AE" w14:textId="1793F22F" w:rsidR="00DA72F7" w:rsidRPr="002E0E97" w:rsidRDefault="00DA72F7" w:rsidP="00DA72F7">
            <w:pPr>
              <w:pStyle w:val="NormalWeb"/>
              <w:spacing w:before="0" w:beforeAutospacing="0" w:after="0" w:afterAutospacing="0"/>
              <w:outlineLvl w:val="0"/>
            </w:pPr>
            <w:r>
              <w:rPr>
                <w:rFonts w:hint="eastAsia"/>
                <w:lang w:eastAsia="zh-CN"/>
              </w:rPr>
              <w:t>Postdoc Fellowship of Tsinghua-Peking University Life Science Joint Center</w:t>
            </w:r>
          </w:p>
        </w:tc>
        <w:tc>
          <w:tcPr>
            <w:tcW w:w="4418" w:type="dxa"/>
            <w:tcBorders>
              <w:top w:val="single" w:sz="2" w:space="0" w:color="999999"/>
              <w:left w:val="single" w:sz="2" w:space="0" w:color="999999"/>
              <w:bottom w:val="single" w:sz="2" w:space="0" w:color="999999"/>
              <w:right w:val="single" w:sz="2" w:space="0" w:color="999999"/>
            </w:tcBorders>
          </w:tcPr>
          <w:p w14:paraId="46AA9A46" w14:textId="21BEB943" w:rsidR="00DA72F7" w:rsidRPr="002E0E97" w:rsidRDefault="00DA72F7" w:rsidP="00DA72F7">
            <w:pPr>
              <w:pStyle w:val="NormalWeb"/>
              <w:spacing w:before="0" w:beforeAutospacing="0" w:after="0" w:afterAutospacing="0"/>
              <w:outlineLvl w:val="0"/>
            </w:pPr>
            <w:r>
              <w:rPr>
                <w:rFonts w:hint="eastAsia"/>
                <w:lang w:eastAsia="zh-CN"/>
              </w:rPr>
              <w:t>Tsinghua-Peking University Life Science Joint Center</w:t>
            </w:r>
          </w:p>
        </w:tc>
      </w:tr>
      <w:tr w:rsidR="00DA72F7" w:rsidRPr="00CD7F36" w14:paraId="2449EF90"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844B48" w14:textId="5639E406" w:rsidR="00DA72F7" w:rsidRPr="00CD7F36" w:rsidRDefault="00DA72F7" w:rsidP="00DA72F7">
            <w:pPr>
              <w:pStyle w:val="CommentText"/>
              <w:tabs>
                <w:tab w:val="left" w:pos="3214"/>
              </w:tabs>
              <w:outlineLvl w:val="0"/>
              <w:rPr>
                <w:sz w:val="24"/>
                <w:szCs w:val="24"/>
              </w:rPr>
            </w:pPr>
            <w:r>
              <w:rPr>
                <w:sz w:val="24"/>
                <w:szCs w:val="24"/>
              </w:rPr>
              <w:t>2016</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48B210" w14:textId="05EDA27C" w:rsidR="00DA72F7" w:rsidRPr="002E0E97" w:rsidRDefault="00DA72F7" w:rsidP="00DA72F7">
            <w:pPr>
              <w:pStyle w:val="NormalWeb"/>
              <w:spacing w:before="0" w:beforeAutospacing="0" w:after="0" w:afterAutospacing="0"/>
              <w:outlineLvl w:val="0"/>
            </w:pPr>
            <w:r>
              <w:t>Travel Award</w:t>
            </w:r>
          </w:p>
        </w:tc>
        <w:tc>
          <w:tcPr>
            <w:tcW w:w="4418" w:type="dxa"/>
            <w:tcBorders>
              <w:top w:val="single" w:sz="2" w:space="0" w:color="999999"/>
              <w:left w:val="single" w:sz="2" w:space="0" w:color="999999"/>
              <w:bottom w:val="single" w:sz="2" w:space="0" w:color="999999"/>
              <w:right w:val="single" w:sz="2" w:space="0" w:color="999999"/>
            </w:tcBorders>
          </w:tcPr>
          <w:p w14:paraId="17E416C3" w14:textId="087F1C88" w:rsidR="00DA72F7" w:rsidRPr="002E0E97" w:rsidRDefault="00DA72F7" w:rsidP="00DA72F7">
            <w:pPr>
              <w:pStyle w:val="NormalWeb"/>
              <w:spacing w:before="0" w:beforeAutospacing="0" w:after="0" w:afterAutospacing="0"/>
              <w:outlineLvl w:val="0"/>
            </w:pPr>
            <w:r w:rsidRPr="00E40F20">
              <w:t>FASEB Science Research Conference</w:t>
            </w:r>
          </w:p>
        </w:tc>
      </w:tr>
      <w:tr w:rsidR="00DA72F7" w:rsidRPr="00CD7F36" w14:paraId="588E15CE"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782E0C" w14:textId="184EE325" w:rsidR="00DA72F7" w:rsidRPr="00CD7F36" w:rsidRDefault="00DA72F7" w:rsidP="00DA72F7">
            <w:pPr>
              <w:pStyle w:val="CommentText"/>
              <w:tabs>
                <w:tab w:val="left" w:pos="3214"/>
              </w:tabs>
              <w:outlineLvl w:val="0"/>
              <w:rPr>
                <w:rFonts w:hint="eastAsia"/>
                <w:sz w:val="24"/>
                <w:szCs w:val="24"/>
                <w:lang w:eastAsia="zh-CN"/>
              </w:rPr>
            </w:pPr>
            <w:r>
              <w:rPr>
                <w:rFonts w:hint="eastAsia"/>
                <w:sz w:val="24"/>
                <w:szCs w:val="24"/>
                <w:lang w:eastAsia="zh-CN"/>
              </w:rPr>
              <w:t>2016</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B47D1" w14:textId="256CC37B" w:rsidR="00DA72F7" w:rsidRPr="002E0E97" w:rsidRDefault="00DA72F7" w:rsidP="00DA72F7">
            <w:pPr>
              <w:pStyle w:val="NormalWeb"/>
              <w:spacing w:before="0" w:beforeAutospacing="0" w:after="0" w:afterAutospacing="0"/>
              <w:outlineLvl w:val="0"/>
              <w:rPr>
                <w:rFonts w:hint="eastAsia"/>
                <w:lang w:eastAsia="zh-CN"/>
              </w:rPr>
            </w:pPr>
            <w:r w:rsidRPr="00DA72F7">
              <w:rPr>
                <w:lang w:eastAsia="zh-CN"/>
              </w:rPr>
              <w:t xml:space="preserve">China Postdoctoral International Academic Exchange Program Award </w:t>
            </w:r>
          </w:p>
        </w:tc>
        <w:tc>
          <w:tcPr>
            <w:tcW w:w="4418" w:type="dxa"/>
            <w:tcBorders>
              <w:top w:val="single" w:sz="2" w:space="0" w:color="999999"/>
              <w:left w:val="single" w:sz="2" w:space="0" w:color="999999"/>
              <w:bottom w:val="single" w:sz="2" w:space="0" w:color="999999"/>
              <w:right w:val="single" w:sz="2" w:space="0" w:color="999999"/>
            </w:tcBorders>
          </w:tcPr>
          <w:p w14:paraId="1E4F0561" w14:textId="589412A2" w:rsidR="00DA72F7" w:rsidRPr="002E0E97" w:rsidRDefault="00DA72F7" w:rsidP="00DA72F7">
            <w:pPr>
              <w:pStyle w:val="NormalWeb"/>
              <w:spacing w:before="0" w:beforeAutospacing="0" w:after="0" w:afterAutospacing="0"/>
              <w:outlineLvl w:val="0"/>
            </w:pPr>
            <w:r w:rsidRPr="00DA72F7">
              <w:rPr>
                <w:lang w:eastAsia="zh-CN"/>
              </w:rPr>
              <w:t xml:space="preserve">China Postdoctoral Science Foundation </w:t>
            </w:r>
          </w:p>
        </w:tc>
      </w:tr>
      <w:tr w:rsidR="00DA72F7" w:rsidRPr="00CD7F36" w14:paraId="3FF4F30A" w14:textId="77777777" w:rsidTr="004502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2AE8AF" w14:textId="59A041A1" w:rsidR="00DA72F7" w:rsidRDefault="00DA72F7" w:rsidP="00DA72F7">
            <w:pPr>
              <w:pStyle w:val="CommentText"/>
              <w:tabs>
                <w:tab w:val="left" w:pos="3214"/>
              </w:tabs>
              <w:outlineLvl w:val="0"/>
              <w:rPr>
                <w:rFonts w:hint="eastAsia"/>
                <w:sz w:val="24"/>
                <w:szCs w:val="24"/>
                <w:lang w:eastAsia="zh-CN"/>
              </w:rPr>
            </w:pPr>
            <w:r>
              <w:rPr>
                <w:rFonts w:hint="eastAsia"/>
                <w:sz w:val="24"/>
                <w:szCs w:val="24"/>
                <w:lang w:eastAsia="zh-CN"/>
              </w:rPr>
              <w:t>2013</w:t>
            </w:r>
          </w:p>
        </w:tc>
        <w:tc>
          <w:tcPr>
            <w:tcW w:w="4359"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2D4DDB" w14:textId="3F11F892" w:rsidR="00DA72F7" w:rsidRDefault="00DA72F7" w:rsidP="00DA72F7">
            <w:pPr>
              <w:pStyle w:val="NormalWeb"/>
              <w:spacing w:before="0" w:beforeAutospacing="0" w:after="0" w:afterAutospacing="0"/>
              <w:outlineLvl w:val="0"/>
              <w:rPr>
                <w:rFonts w:hint="eastAsia"/>
                <w:lang w:eastAsia="zh-CN"/>
              </w:rPr>
            </w:pPr>
            <w:r w:rsidRPr="00DA72F7">
              <w:rPr>
                <w:lang w:eastAsia="zh-CN"/>
              </w:rPr>
              <w:t xml:space="preserve">Institute of Biophysics Director's Paper Award </w:t>
            </w:r>
          </w:p>
        </w:tc>
        <w:tc>
          <w:tcPr>
            <w:tcW w:w="4418" w:type="dxa"/>
            <w:tcBorders>
              <w:top w:val="single" w:sz="2" w:space="0" w:color="999999"/>
              <w:left w:val="single" w:sz="2" w:space="0" w:color="999999"/>
              <w:bottom w:val="single" w:sz="2" w:space="0" w:color="999999"/>
              <w:right w:val="single" w:sz="2" w:space="0" w:color="999999"/>
            </w:tcBorders>
          </w:tcPr>
          <w:p w14:paraId="27108617" w14:textId="192BE88C" w:rsidR="00DA72F7" w:rsidRDefault="00DA72F7" w:rsidP="00DA72F7">
            <w:pPr>
              <w:pStyle w:val="NormalWeb"/>
              <w:spacing w:before="0" w:beforeAutospacing="0" w:after="0" w:afterAutospacing="0"/>
              <w:outlineLvl w:val="0"/>
              <w:rPr>
                <w:rFonts w:hint="eastAsia"/>
                <w:lang w:eastAsia="zh-CN"/>
              </w:rPr>
            </w:pPr>
            <w:r w:rsidRPr="00DA72F7">
              <w:rPr>
                <w:lang w:eastAsia="zh-CN"/>
              </w:rPr>
              <w:t xml:space="preserve">Institute of Biophysics, </w:t>
            </w:r>
            <w:r>
              <w:rPr>
                <w:rFonts w:hint="eastAsia"/>
                <w:lang w:eastAsia="zh-CN"/>
              </w:rPr>
              <w:t xml:space="preserve">University of </w:t>
            </w:r>
            <w:r>
              <w:t>Chinese Academy of Sciences</w:t>
            </w:r>
            <w:r>
              <w:rPr>
                <w:rFonts w:hint="eastAsia"/>
                <w:lang w:eastAsia="zh-CN"/>
              </w:rPr>
              <w:t xml:space="preserve"> </w:t>
            </w:r>
          </w:p>
        </w:tc>
      </w:tr>
    </w:tbl>
    <w:p w14:paraId="00D0BDF7" w14:textId="77777777" w:rsidR="00D42B32" w:rsidRDefault="00D42B32" w:rsidP="00B4095F"/>
    <w:p w14:paraId="35B2EC8E" w14:textId="77777777" w:rsidR="00D52FC8" w:rsidRDefault="00D52FC8" w:rsidP="00B4095F"/>
    <w:p w14:paraId="2C29D69C" w14:textId="0CBB1F86" w:rsidR="00B4095F" w:rsidRDefault="00B4095F" w:rsidP="00B4095F">
      <w:r w:rsidRPr="00B4095F">
        <w:rPr>
          <w:b/>
          <w:bCs/>
          <w:u w:val="single"/>
        </w:rPr>
        <w:t>Professional Societies</w:t>
      </w:r>
      <w:r w:rsidRPr="002E0E97">
        <w:t xml:space="preserve"> </w:t>
      </w:r>
    </w:p>
    <w:p w14:paraId="5C1ADC09" w14:textId="77777777" w:rsidR="00B4095F" w:rsidRDefault="00B4095F" w:rsidP="00B4095F"/>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2E0E97" w14:paraId="478C611B" w14:textId="7777777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83C69" w14:textId="77777777" w:rsidR="00EC528A" w:rsidRPr="00CC6B4D" w:rsidRDefault="0078277B" w:rsidP="00B4095F">
            <w:pPr>
              <w:pStyle w:val="CommentText"/>
              <w:tabs>
                <w:tab w:val="left" w:pos="3214"/>
              </w:tabs>
              <w:outlineLvl w:val="0"/>
              <w:rPr>
                <w:sz w:val="24"/>
                <w:szCs w:val="24"/>
              </w:rPr>
            </w:pPr>
            <w:r w:rsidRPr="00CC6B4D">
              <w:rPr>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B23447" w14:textId="77777777" w:rsidR="00EC528A" w:rsidRPr="00B4095F" w:rsidRDefault="0078277B" w:rsidP="00B4095F">
            <w:pPr>
              <w:pStyle w:val="NormalWeb"/>
              <w:spacing w:before="0" w:beforeAutospacing="0" w:after="0" w:afterAutospacing="0"/>
              <w:outlineLvl w:val="0"/>
              <w:rPr>
                <w:bCs/>
              </w:rPr>
            </w:pPr>
            <w:r w:rsidRPr="00B4095F">
              <w:rPr>
                <w:bCs/>
              </w:rPr>
              <w:t>Society Name</w:t>
            </w:r>
            <w:r w:rsidR="00DB5379">
              <w:rPr>
                <w:bCs/>
              </w:rPr>
              <w:t>, member</w:t>
            </w:r>
          </w:p>
        </w:tc>
      </w:tr>
      <w:tr w:rsidR="00812A12" w:rsidRPr="002E0E97" w14:paraId="61A1827E"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6366D" w14:textId="2E5ADEBA" w:rsidR="00812A12" w:rsidRDefault="00812A12" w:rsidP="00812A12">
            <w:pPr>
              <w:pStyle w:val="CommentText"/>
              <w:tabs>
                <w:tab w:val="left" w:pos="3214"/>
              </w:tabs>
              <w:outlineLvl w:val="0"/>
              <w:rPr>
                <w:sz w:val="24"/>
                <w:szCs w:val="24"/>
              </w:rPr>
            </w:pPr>
            <w:r>
              <w:rPr>
                <w:sz w:val="24"/>
                <w:szCs w:val="24"/>
              </w:rPr>
              <w:t>2024.01-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12E9D6" w14:textId="6F1F4FF9" w:rsidR="00812A12" w:rsidRPr="00EC528A" w:rsidRDefault="00812A12" w:rsidP="00812A12">
            <w:pPr>
              <w:ind w:left="1440" w:hanging="1440"/>
              <w:rPr>
                <w:b/>
                <w:bCs/>
              </w:rPr>
            </w:pPr>
            <w:r w:rsidRPr="007F45F7">
              <w:t>American Society for Biochemistry and Molecular Biology</w:t>
            </w:r>
          </w:p>
        </w:tc>
      </w:tr>
      <w:tr w:rsidR="00812A12" w:rsidRPr="002E0E97" w14:paraId="320D9064" w14:textId="77777777" w:rsidTr="00B409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80E1E" w14:textId="1F4BEB76" w:rsidR="00812A12" w:rsidRPr="00CC6B4D" w:rsidRDefault="00812A12" w:rsidP="00812A12">
            <w:pPr>
              <w:pStyle w:val="CommentText"/>
              <w:tabs>
                <w:tab w:val="left" w:pos="3214"/>
              </w:tabs>
              <w:outlineLvl w:val="0"/>
              <w:rPr>
                <w:sz w:val="24"/>
                <w:szCs w:val="24"/>
              </w:rPr>
            </w:pPr>
            <w:r>
              <w:rPr>
                <w:sz w:val="24"/>
                <w:szCs w:val="24"/>
              </w:rPr>
              <w:t>2024.01-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E24F6C" w14:textId="6C7696E1" w:rsidR="00812A12" w:rsidRPr="00CC6B4D" w:rsidRDefault="00812A12" w:rsidP="00812A12">
            <w:pPr>
              <w:ind w:left="1440" w:hanging="1440"/>
            </w:pPr>
            <w:r w:rsidRPr="007F45F7">
              <w:t>Cancer Cachexia Society</w:t>
            </w:r>
          </w:p>
        </w:tc>
      </w:tr>
    </w:tbl>
    <w:p w14:paraId="583A23C6" w14:textId="104CE90E" w:rsidR="003602EF" w:rsidRDefault="003602EF" w:rsidP="00B4095F">
      <w:pPr>
        <w:pStyle w:val="NormalWeb"/>
        <w:spacing w:before="0" w:beforeAutospacing="0" w:after="0" w:afterAutospacing="0"/>
        <w:outlineLvl w:val="0"/>
        <w:rPr>
          <w:b/>
          <w:bCs/>
          <w:u w:val="single"/>
        </w:rPr>
      </w:pPr>
    </w:p>
    <w:p w14:paraId="753ADAAC" w14:textId="77777777" w:rsidR="00A72BF1" w:rsidRDefault="00A72BF1" w:rsidP="00A72BF1"/>
    <w:p w14:paraId="6DE3E940" w14:textId="77777777" w:rsidR="00A72BF1" w:rsidRPr="00B4095F" w:rsidRDefault="00A72BF1" w:rsidP="00A72BF1">
      <w:pPr>
        <w:rPr>
          <w:u w:val="single"/>
        </w:rPr>
      </w:pPr>
      <w:r w:rsidRPr="00B4095F">
        <w:rPr>
          <w:b/>
          <w:bCs/>
          <w:u w:val="single"/>
        </w:rPr>
        <w:t>Editorial Activities</w:t>
      </w:r>
    </w:p>
    <w:p w14:paraId="5B782453" w14:textId="77777777" w:rsidR="00A72BF1" w:rsidRDefault="00A72BF1" w:rsidP="00A72BF1"/>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2E0E97" w14:paraId="1AA69278"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166988" w14:textId="77777777" w:rsidR="00A72BF1" w:rsidRPr="004E25D3" w:rsidRDefault="00A72BF1" w:rsidP="0014265F">
            <w:pPr>
              <w:pStyle w:val="NormalWeb"/>
              <w:spacing w:before="0" w:beforeAutospacing="0" w:after="0" w:afterAutospacing="0"/>
              <w:outlineLvl w:val="0"/>
            </w:pPr>
            <w:r w:rsidRPr="004E25D3">
              <w:t>Year(s)</w:t>
            </w:r>
          </w:p>
        </w:tc>
        <w:tc>
          <w:tcPr>
            <w:tcW w:w="8772" w:type="dxa"/>
            <w:tcBorders>
              <w:top w:val="single" w:sz="2" w:space="0" w:color="999999"/>
              <w:left w:val="single" w:sz="2" w:space="0" w:color="999999"/>
              <w:bottom w:val="single" w:sz="2" w:space="0" w:color="999999"/>
              <w:right w:val="single" w:sz="2" w:space="0" w:color="999999"/>
            </w:tcBorders>
          </w:tcPr>
          <w:p w14:paraId="15DB5708" w14:textId="77777777" w:rsidR="00A72BF1" w:rsidRPr="004E25D3" w:rsidRDefault="00A72BF1" w:rsidP="0014265F">
            <w:pPr>
              <w:pStyle w:val="NormalWeb"/>
              <w:spacing w:before="0" w:beforeAutospacing="0" w:after="0" w:afterAutospacing="0"/>
              <w:outlineLvl w:val="0"/>
            </w:pPr>
            <w:r>
              <w:t>Journal Name</w:t>
            </w:r>
          </w:p>
        </w:tc>
      </w:tr>
      <w:tr w:rsidR="00A72BF1" w:rsidRPr="002E0E97" w14:paraId="58E9CBE4" w14:textId="77777777" w:rsidTr="0014265F">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4DC0CB" w14:textId="646CF94D" w:rsidR="00A72BF1" w:rsidRPr="002E0E97" w:rsidRDefault="00976837" w:rsidP="0014265F">
            <w:pPr>
              <w:pStyle w:val="NormalWeb"/>
              <w:spacing w:before="0" w:beforeAutospacing="0" w:after="0" w:afterAutospacing="0"/>
              <w:outlineLvl w:val="0"/>
            </w:pPr>
            <w:r>
              <w:rPr>
                <w:rFonts w:hint="eastAsia"/>
                <w:u w:val="single"/>
                <w:lang w:eastAsia="zh-CN"/>
              </w:rPr>
              <w:t>Guest</w:t>
            </w:r>
            <w:r w:rsidR="00A72BF1">
              <w:rPr>
                <w:u w:val="single"/>
              </w:rPr>
              <w:t xml:space="preserve"> Editor</w:t>
            </w:r>
          </w:p>
        </w:tc>
      </w:tr>
      <w:tr w:rsidR="00A72BF1" w:rsidRPr="002E0E97" w14:paraId="21A7C3B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3FC0C0" w14:textId="2267D580" w:rsidR="00A72BF1" w:rsidRPr="002E0E97" w:rsidRDefault="00FD03D6" w:rsidP="0014265F">
            <w:pPr>
              <w:pStyle w:val="CommentText"/>
              <w:tabs>
                <w:tab w:val="left" w:pos="1310"/>
              </w:tabs>
              <w:outlineLvl w:val="0"/>
              <w:rPr>
                <w:rFonts w:hint="eastAsia"/>
                <w:sz w:val="24"/>
                <w:szCs w:val="24"/>
                <w:lang w:eastAsia="zh-CN"/>
              </w:rPr>
            </w:pPr>
            <w:r>
              <w:rPr>
                <w:rFonts w:hint="eastAsia"/>
                <w:sz w:val="24"/>
                <w:szCs w:val="24"/>
                <w:lang w:eastAsia="zh-CN"/>
              </w:rPr>
              <w:t>2024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D244D7" w14:textId="4DD89F03" w:rsidR="00A72BF1" w:rsidRPr="002E0E97" w:rsidRDefault="00FD03D6" w:rsidP="0014265F">
            <w:pPr>
              <w:pStyle w:val="NormalWeb"/>
              <w:spacing w:before="0" w:beforeAutospacing="0" w:after="0" w:afterAutospacing="0"/>
              <w:outlineLvl w:val="0"/>
              <w:rPr>
                <w:rFonts w:hint="eastAsia"/>
                <w:lang w:eastAsia="zh-CN"/>
              </w:rPr>
            </w:pPr>
            <w:r>
              <w:rPr>
                <w:rFonts w:hint="eastAsia"/>
                <w:lang w:eastAsia="zh-CN"/>
              </w:rPr>
              <w:t>Cells</w:t>
            </w:r>
          </w:p>
        </w:tc>
      </w:tr>
      <w:tr w:rsidR="00A72BF1" w:rsidRPr="002E0E97" w14:paraId="2C9DC33F"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0B6A77" w14:textId="4132A573" w:rsidR="00A72BF1" w:rsidRPr="002E0E97" w:rsidRDefault="00FD03D6" w:rsidP="0014265F">
            <w:pPr>
              <w:pStyle w:val="CommentText"/>
              <w:tabs>
                <w:tab w:val="left" w:pos="3214"/>
              </w:tabs>
              <w:outlineLvl w:val="0"/>
              <w:rPr>
                <w:rFonts w:hint="eastAsia"/>
                <w:sz w:val="24"/>
                <w:szCs w:val="24"/>
                <w:lang w:eastAsia="zh-CN"/>
              </w:rPr>
            </w:pPr>
            <w:r>
              <w:rPr>
                <w:rFonts w:hint="eastAsia"/>
                <w:sz w:val="24"/>
                <w:szCs w:val="24"/>
                <w:lang w:eastAsia="zh-CN"/>
              </w:rPr>
              <w:t>2026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0392A" w14:textId="36E0FAE9" w:rsidR="00A72BF1" w:rsidRPr="002E0E97" w:rsidRDefault="00FD03D6" w:rsidP="0014265F">
            <w:pPr>
              <w:pStyle w:val="NormalWeb"/>
              <w:spacing w:before="0" w:beforeAutospacing="0" w:after="0" w:afterAutospacing="0"/>
              <w:outlineLvl w:val="0"/>
              <w:rPr>
                <w:rFonts w:hint="eastAsia"/>
                <w:lang w:eastAsia="zh-CN"/>
              </w:rPr>
            </w:pPr>
            <w:r>
              <w:rPr>
                <w:rFonts w:hint="eastAsia"/>
                <w:lang w:eastAsia="zh-CN"/>
              </w:rPr>
              <w:t>Cells</w:t>
            </w:r>
          </w:p>
        </w:tc>
      </w:tr>
    </w:tbl>
    <w:p w14:paraId="0BF5649A" w14:textId="77777777" w:rsidR="00A72BF1" w:rsidRDefault="00A72BF1" w:rsidP="00A72BF1">
      <w:pPr>
        <w:pStyle w:val="NormalWeb"/>
        <w:spacing w:before="0" w:beforeAutospacing="0" w:after="0" w:afterAutospacing="0"/>
        <w:outlineLvl w:val="0"/>
        <w:rPr>
          <w:b/>
          <w:bCs/>
        </w:rPr>
      </w:pPr>
    </w:p>
    <w:p w14:paraId="60212FE0" w14:textId="11271CC3" w:rsidR="00A72BF1" w:rsidRPr="00006F74" w:rsidRDefault="00A72BF1" w:rsidP="00A72BF1">
      <w:pPr>
        <w:pStyle w:val="NormalWeb"/>
        <w:spacing w:before="0" w:beforeAutospacing="0" w:after="0" w:afterAutospacing="0"/>
        <w:outlineLvl w:val="0"/>
        <w:rPr>
          <w:rFonts w:hint="eastAsia"/>
          <w:bCs/>
          <w:lang w:eastAsia="zh-CN"/>
        </w:rPr>
      </w:pPr>
      <w:r>
        <w:rPr>
          <w:b/>
          <w:bCs/>
          <w:u w:val="single"/>
        </w:rPr>
        <w:t>Grant Support</w:t>
      </w:r>
      <w:r>
        <w:rPr>
          <w:bCs/>
        </w:rPr>
        <w:t xml:space="preserve"> </w:t>
      </w:r>
    </w:p>
    <w:p w14:paraId="74368C99" w14:textId="77777777" w:rsidR="00A72BF1" w:rsidRDefault="00A72BF1" w:rsidP="00A72BF1">
      <w:pPr>
        <w:pStyle w:val="NormalWeb"/>
        <w:spacing w:before="0" w:beforeAutospacing="0" w:after="0" w:afterAutospacing="0"/>
        <w:outlineLvl w:val="0"/>
        <w:rPr>
          <w:bCs/>
        </w:rPr>
      </w:pPr>
    </w:p>
    <w:p w14:paraId="5BF5D4E6" w14:textId="77777777" w:rsidR="00A72BF1" w:rsidRPr="00843573" w:rsidRDefault="00A72BF1" w:rsidP="00A72BF1">
      <w:pPr>
        <w:pStyle w:val="NormalWeb"/>
        <w:spacing w:before="0" w:beforeAutospacing="0" w:after="0" w:afterAutospacing="0"/>
        <w:outlineLvl w:val="0"/>
        <w:rPr>
          <w:bC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A72BF1" w:rsidRPr="00843573" w14:paraId="0D5A58BD"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F550E7" w14:textId="26DA590E" w:rsidR="00A72BF1" w:rsidRPr="00843573" w:rsidRDefault="00976837" w:rsidP="0014265F">
            <w:pPr>
              <w:pStyle w:val="CommentText"/>
              <w:tabs>
                <w:tab w:val="left" w:pos="3214"/>
              </w:tabs>
              <w:outlineLvl w:val="0"/>
              <w:rPr>
                <w:rFonts w:hint="eastAsia"/>
                <w:sz w:val="24"/>
                <w:szCs w:val="24"/>
                <w:lang w:eastAsia="zh-CN"/>
              </w:rPr>
            </w:pPr>
            <w:r>
              <w:rPr>
                <w:rFonts w:hint="eastAsia"/>
                <w:sz w:val="24"/>
                <w:szCs w:val="24"/>
                <w:lang w:eastAsia="zh-CN"/>
              </w:rPr>
              <w:t>2025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2D5D1F" w14:textId="4E60D443" w:rsidR="00A72BF1" w:rsidRPr="00DD0D7F" w:rsidRDefault="00DD0D7F" w:rsidP="0014265F">
            <w:pPr>
              <w:pStyle w:val="NormalWeb"/>
              <w:spacing w:before="0" w:beforeAutospacing="0" w:after="0" w:afterAutospacing="0"/>
              <w:outlineLvl w:val="0"/>
              <w:rPr>
                <w:bCs/>
                <w:iCs/>
              </w:rPr>
            </w:pPr>
            <w:r w:rsidRPr="00DD0D7F">
              <w:rPr>
                <w:bCs/>
                <w:iCs/>
              </w:rPr>
              <w:t>Wellstone Pilot award</w:t>
            </w:r>
          </w:p>
        </w:tc>
      </w:tr>
      <w:tr w:rsidR="00A72BF1" w:rsidRPr="00843573" w14:paraId="0AF5CA66"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0B0DDF"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9D33C3" w14:textId="77777777" w:rsidR="007F1DFA" w:rsidRPr="007F1DFA" w:rsidRDefault="007F1DFA" w:rsidP="007F1DFA">
            <w:pPr>
              <w:ind w:left="1440" w:hanging="1440"/>
              <w:rPr>
                <w:bCs/>
                <w:iCs/>
              </w:rPr>
            </w:pPr>
            <w:r w:rsidRPr="007F1DFA">
              <w:rPr>
                <w:bCs/>
                <w:iCs/>
              </w:rPr>
              <w:t>Mechanisms of Tumor Secreted GDF15 Disrupting</w:t>
            </w:r>
          </w:p>
          <w:p w14:paraId="691FFB3A" w14:textId="2AD7B0E9" w:rsidR="00A72BF1" w:rsidRPr="007F1DFA" w:rsidRDefault="007F1DFA" w:rsidP="007F1DFA">
            <w:pPr>
              <w:ind w:left="1440" w:hanging="1440"/>
              <w:rPr>
                <w:bCs/>
                <w:iCs/>
              </w:rPr>
            </w:pPr>
            <w:r w:rsidRPr="007F1DFA">
              <w:rPr>
                <w:bCs/>
                <w:iCs/>
              </w:rPr>
              <w:t>Neuromuscular Junction Integrity during Cancer Cachexia</w:t>
            </w:r>
          </w:p>
        </w:tc>
      </w:tr>
      <w:tr w:rsidR="00A72BF1" w:rsidRPr="00843573" w14:paraId="02D7D1C3"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6254DE"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5E89C2" w14:textId="3DAAC678" w:rsidR="00A72BF1" w:rsidRPr="007F1DFA" w:rsidRDefault="00A72BF1" w:rsidP="0014265F">
            <w:pPr>
              <w:ind w:left="1440" w:hanging="1440"/>
              <w:rPr>
                <w:iCs/>
              </w:rPr>
            </w:pPr>
            <w:r w:rsidRPr="007F1DFA">
              <w:rPr>
                <w:iCs/>
              </w:rPr>
              <w:t>Principal Investigator</w:t>
            </w:r>
          </w:p>
        </w:tc>
      </w:tr>
      <w:tr w:rsidR="00A72BF1" w:rsidRPr="00843573" w14:paraId="6CC1B8FB"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96EA1A"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9FAD22" w14:textId="1915A73F" w:rsidR="00A72BF1" w:rsidRPr="007F1DFA" w:rsidRDefault="007F1DFA" w:rsidP="0014265F">
            <w:pPr>
              <w:ind w:left="1440" w:hanging="1440"/>
              <w:rPr>
                <w:bCs/>
                <w:iCs/>
              </w:rPr>
            </w:pPr>
            <w:r w:rsidRPr="007F1DFA">
              <w:rPr>
                <w:bCs/>
                <w:iCs/>
              </w:rPr>
              <w:t>$20,000</w:t>
            </w:r>
          </w:p>
        </w:tc>
      </w:tr>
      <w:tr w:rsidR="00A72BF1" w:rsidRPr="00843573" w14:paraId="00AA3A29"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E267E6"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8BFFE" w14:textId="4EACCE36" w:rsidR="00A72BF1" w:rsidRPr="00DD0D7F" w:rsidRDefault="00A72BF1" w:rsidP="0014265F">
            <w:pPr>
              <w:ind w:left="1440" w:hanging="1440"/>
              <w:rPr>
                <w:i/>
              </w:rPr>
            </w:pPr>
          </w:p>
        </w:tc>
      </w:tr>
      <w:tr w:rsidR="00A72BF1" w:rsidRPr="00843573" w14:paraId="0E3B2D5F" w14:textId="77777777" w:rsidTr="0014265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85E3EE" w14:textId="77777777" w:rsidR="00A72BF1" w:rsidRPr="00843573" w:rsidRDefault="00A72BF1" w:rsidP="0014265F">
            <w:pPr>
              <w:pStyle w:val="CommentText"/>
              <w:tabs>
                <w:tab w:val="left" w:pos="3214"/>
              </w:tabs>
              <w:outlineLvl w:val="0"/>
              <w:rPr>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85DB4F" w14:textId="77777777" w:rsidR="00A72BF1" w:rsidRPr="00843573" w:rsidRDefault="00A72BF1" w:rsidP="0014265F">
            <w:pPr>
              <w:ind w:left="1440" w:hanging="1440"/>
              <w:rPr>
                <w:b/>
                <w:bCs/>
              </w:rPr>
            </w:pPr>
          </w:p>
        </w:tc>
      </w:tr>
    </w:tbl>
    <w:p w14:paraId="77FB28A2" w14:textId="77777777" w:rsidR="00976837" w:rsidRPr="00AA41C0" w:rsidRDefault="00976837" w:rsidP="006B67C2">
      <w:pPr>
        <w:rPr>
          <w:rFonts w:hint="eastAsia"/>
          <w:lang w:eastAsia="zh-CN"/>
        </w:rPr>
      </w:pPr>
    </w:p>
    <w:p w14:paraId="12BC8325" w14:textId="77777777" w:rsidR="00CB62DE" w:rsidRPr="00E05C1D" w:rsidRDefault="00CB62DE" w:rsidP="00B4095F">
      <w:pPr>
        <w:pStyle w:val="NormalWeb"/>
        <w:spacing w:before="0" w:beforeAutospacing="0" w:after="0" w:afterAutospacing="0"/>
        <w:rPr>
          <w:bCs/>
        </w:rPr>
      </w:pPr>
      <w:r w:rsidRPr="00B4095F">
        <w:rPr>
          <w:b/>
          <w:bCs/>
          <w:u w:val="single"/>
        </w:rPr>
        <w:t xml:space="preserve">Invited </w:t>
      </w:r>
      <w:r w:rsidR="00A46510">
        <w:rPr>
          <w:b/>
          <w:bCs/>
          <w:u w:val="single"/>
        </w:rPr>
        <w:t>Lectures</w:t>
      </w:r>
      <w:r w:rsidR="00A46510">
        <w:rPr>
          <w:b/>
          <w:bCs/>
        </w:rPr>
        <w:t xml:space="preserve"> </w:t>
      </w:r>
    </w:p>
    <w:p w14:paraId="64FFDE02" w14:textId="77777777" w:rsidR="00CB62DE" w:rsidRDefault="00CB62DE" w:rsidP="00B4095F">
      <w:pPr>
        <w:pStyle w:val="NormalWeb"/>
        <w:spacing w:before="0" w:beforeAutospacing="0" w:after="0" w:afterAutospacing="0"/>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2E0E97" w14:paraId="0AFE5C69"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F4DC13" w14:textId="77777777" w:rsidR="00E05C1D" w:rsidRPr="002E0E97" w:rsidRDefault="00E05C1D" w:rsidP="001C697F">
            <w:pPr>
              <w:pStyle w:val="CommentText"/>
              <w:tabs>
                <w:tab w:val="left" w:pos="3214"/>
              </w:tabs>
              <w:outlineLvl w:val="0"/>
              <w:rPr>
                <w:sz w:val="24"/>
                <w:szCs w:val="24"/>
              </w:rPr>
            </w:pPr>
            <w:r>
              <w:rPr>
                <w:sz w:val="24"/>
                <w:szCs w:val="24"/>
              </w:rPr>
              <w:t>Y</w:t>
            </w:r>
            <w:r w:rsidRPr="002E0E97">
              <w:rPr>
                <w:sz w:val="24"/>
                <w:szCs w:val="24"/>
              </w:rPr>
              <w:t>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ABAD94" w14:textId="77777777" w:rsidR="00E05C1D" w:rsidRPr="002E0E97" w:rsidRDefault="00E05C1D" w:rsidP="001C697F">
            <w:pPr>
              <w:pStyle w:val="NormalWeb"/>
              <w:spacing w:before="0" w:beforeAutospacing="0" w:after="0" w:afterAutospacing="0"/>
              <w:outlineLvl w:val="0"/>
            </w:pPr>
            <w:r>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2ED716" w14:textId="77777777" w:rsidR="00E05C1D" w:rsidRPr="002E0E97" w:rsidRDefault="00E05C1D" w:rsidP="001C697F">
            <w:pPr>
              <w:pStyle w:val="NormalWeb"/>
              <w:spacing w:before="0" w:beforeAutospacing="0" w:after="0" w:afterAutospacing="0"/>
              <w:outlineLvl w:val="0"/>
            </w:pPr>
            <w:r>
              <w:t>Location</w:t>
            </w:r>
          </w:p>
        </w:tc>
      </w:tr>
      <w:tr w:rsidR="00E05C1D" w:rsidRPr="002E0E97" w14:paraId="2BD1A5E3" w14:textId="77777777" w:rsidTr="001C697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0D3261" w14:textId="1F885136" w:rsidR="00E05C1D" w:rsidRPr="002E0E97" w:rsidRDefault="00F25D53" w:rsidP="001C697F">
            <w:pPr>
              <w:pStyle w:val="CommentText"/>
              <w:tabs>
                <w:tab w:val="left" w:pos="3214"/>
              </w:tabs>
              <w:outlineLvl w:val="0"/>
              <w:rPr>
                <w:sz w:val="24"/>
                <w:szCs w:val="24"/>
              </w:rPr>
            </w:pPr>
            <w:r>
              <w:rPr>
                <w:sz w:val="24"/>
                <w:szCs w:val="24"/>
              </w:rP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528761" w14:textId="34FF7AC2" w:rsidR="00E05C1D" w:rsidRPr="002E0E97" w:rsidRDefault="00F25D53" w:rsidP="001C697F">
            <w:pPr>
              <w:pStyle w:val="NormalWeb"/>
              <w:spacing w:before="0" w:beforeAutospacing="0" w:after="0" w:afterAutospacing="0"/>
              <w:outlineLvl w:val="0"/>
            </w:pPr>
            <w:r w:rsidRPr="004C6543">
              <w:rPr>
                <w:rFonts w:ascii="Arial" w:hAnsi="Arial" w:cs="Arial"/>
              </w:rPr>
              <w:t>Cancer Cachexia in STK11/LKB1-mutated NSCLC is Dependent on Tumor secreted GDF15</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2093C3" w14:textId="25B43825" w:rsidR="00E05C1D" w:rsidRPr="002E0E97" w:rsidRDefault="00F25D53" w:rsidP="001C697F">
            <w:pPr>
              <w:pStyle w:val="NormalWeb"/>
              <w:spacing w:before="0" w:beforeAutospacing="0" w:after="0" w:afterAutospacing="0"/>
              <w:outlineLvl w:val="0"/>
            </w:pPr>
            <w:r w:rsidRPr="004C6543">
              <w:rPr>
                <w:rFonts w:ascii="Arial" w:hAnsi="Arial" w:cs="Arial"/>
              </w:rPr>
              <w:t xml:space="preserve">The Cancer Cachexia Action Network </w:t>
            </w:r>
            <w:r>
              <w:rPr>
                <w:rFonts w:ascii="Arial" w:hAnsi="Arial" w:cs="Arial"/>
              </w:rPr>
              <w:t>S</w:t>
            </w:r>
            <w:r w:rsidRPr="004C6543">
              <w:rPr>
                <w:rFonts w:ascii="Arial" w:hAnsi="Arial" w:cs="Arial"/>
              </w:rPr>
              <w:t>eminar</w:t>
            </w:r>
            <w:r>
              <w:rPr>
                <w:rFonts w:ascii="Arial" w:hAnsi="Arial" w:cs="Arial"/>
              </w:rPr>
              <w:t xml:space="preserve"> (online)</w:t>
            </w:r>
          </w:p>
        </w:tc>
      </w:tr>
    </w:tbl>
    <w:p w14:paraId="71B787B3" w14:textId="77777777" w:rsidR="00CB62DE" w:rsidRDefault="009A5057" w:rsidP="00B4095F">
      <w:pPr>
        <w:outlineLvl w:val="0"/>
      </w:pPr>
      <w:r w:rsidRPr="00B4095F">
        <w:rPr>
          <w:b/>
          <w:bCs/>
          <w:u w:val="single"/>
        </w:rPr>
        <w:lastRenderedPageBreak/>
        <w:t>Bibliography</w:t>
      </w:r>
      <w:r w:rsidR="00CB62DE" w:rsidRPr="00B4095F">
        <w:t xml:space="preserve"> </w:t>
      </w:r>
    </w:p>
    <w:p w14:paraId="28DDC761" w14:textId="77777777" w:rsidR="00B4095F" w:rsidRPr="00B4095F" w:rsidRDefault="00B4095F" w:rsidP="00B4095F">
      <w:pPr>
        <w:outlineLvl w:val="0"/>
        <w:rPr>
          <w:i/>
          <w:iCs/>
          <w:u w:val="single"/>
        </w:rPr>
      </w:pPr>
    </w:p>
    <w:p w14:paraId="5F3696B3" w14:textId="4257AA8B" w:rsidR="00CB62DE" w:rsidRPr="00B4095F" w:rsidRDefault="00CB62DE" w:rsidP="00B4095F">
      <w:pPr>
        <w:pStyle w:val="NormalWeb"/>
        <w:tabs>
          <w:tab w:val="num" w:pos="1320"/>
        </w:tabs>
        <w:spacing w:before="0" w:beforeAutospacing="0" w:after="0" w:afterAutospacing="0"/>
        <w:rPr>
          <w:rFonts w:hint="eastAsia"/>
          <w:b/>
          <w:bCs/>
          <w:lang w:eastAsia="zh-CN"/>
        </w:rPr>
      </w:pPr>
      <w:r w:rsidRPr="00B4095F">
        <w:rPr>
          <w:b/>
          <w:bCs/>
        </w:rPr>
        <w:t>Peer</w:t>
      </w:r>
      <w:r w:rsidR="009A5057" w:rsidRPr="00B4095F">
        <w:rPr>
          <w:b/>
          <w:bCs/>
        </w:rPr>
        <w:t>-</w:t>
      </w:r>
      <w:r w:rsidRPr="00B4095F">
        <w:rPr>
          <w:b/>
          <w:bCs/>
        </w:rPr>
        <w:t>Reviewed Publications</w:t>
      </w:r>
    </w:p>
    <w:p w14:paraId="4C402F49" w14:textId="77777777" w:rsidR="00C55D03" w:rsidRDefault="00C55D03" w:rsidP="00B4095F">
      <w:pPr>
        <w:ind w:left="120"/>
        <w:rPr>
          <w:u w:val="single"/>
        </w:rPr>
      </w:pPr>
    </w:p>
    <w:p w14:paraId="5562F0B0" w14:textId="77777777" w:rsidR="00E43744" w:rsidRPr="002E0E97" w:rsidRDefault="006A19F2" w:rsidP="00B4095F">
      <w:pPr>
        <w:ind w:left="120"/>
        <w:rPr>
          <w:u w:val="single"/>
        </w:rPr>
      </w:pPr>
      <w:r>
        <w:rPr>
          <w:u w:val="single"/>
        </w:rPr>
        <w:t xml:space="preserve">Original </w:t>
      </w:r>
      <w:r w:rsidR="00E43744" w:rsidRPr="002E0E97">
        <w:rPr>
          <w:u w:val="single"/>
        </w:rPr>
        <w:t xml:space="preserve">Research </w:t>
      </w:r>
      <w:r>
        <w:rPr>
          <w:u w:val="single"/>
        </w:rPr>
        <w:t>Articles</w:t>
      </w:r>
    </w:p>
    <w:p w14:paraId="4FB882BA" w14:textId="77777777" w:rsidR="00551CC2" w:rsidRPr="002E0E97" w:rsidRDefault="00551CC2" w:rsidP="00B4095F">
      <w:pPr>
        <w:ind w:left="480"/>
        <w:rPr>
          <w:u w:val="single"/>
        </w:rPr>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1"/>
        <w:gridCol w:w="9289"/>
      </w:tblGrid>
      <w:tr w:rsidR="00E43744" w:rsidRPr="002E0E97" w14:paraId="44B41828" w14:textId="77777777" w:rsidTr="00B7304A">
        <w:trPr>
          <w:trHeight w:val="360"/>
        </w:trPr>
        <w:tc>
          <w:tcPr>
            <w:tcW w:w="720" w:type="dxa"/>
          </w:tcPr>
          <w:p w14:paraId="747BFDE5" w14:textId="77777777" w:rsidR="00E43744" w:rsidRPr="00E43744" w:rsidRDefault="00E43744" w:rsidP="00B4095F">
            <w:pPr>
              <w:numPr>
                <w:ilvl w:val="0"/>
                <w:numId w:val="4"/>
              </w:numPr>
              <w:ind w:left="360"/>
            </w:pPr>
          </w:p>
        </w:tc>
        <w:tc>
          <w:tcPr>
            <w:tcW w:w="9492" w:type="dxa"/>
          </w:tcPr>
          <w:p w14:paraId="53C842B6" w14:textId="5E6A1B97" w:rsidR="00E43744" w:rsidRPr="002E0E97" w:rsidRDefault="007F1DFA" w:rsidP="00B4095F">
            <w:pPr>
              <w:rPr>
                <w:u w:val="single"/>
                <w:lang w:eastAsia="zh-CN"/>
              </w:rPr>
            </w:pPr>
            <w:r w:rsidRPr="007F1DFA">
              <w:rPr>
                <w:b/>
                <w:bCs/>
                <w:u w:val="single"/>
              </w:rPr>
              <w:t>Jinhai Yu</w:t>
            </w:r>
            <w:r w:rsidRPr="007F1DFA">
              <w:rPr>
                <w:u w:val="single"/>
              </w:rPr>
              <w:t>, Tong Guo, Arun Gupta, Ernesto M. Llano, Thomas Salisbury, Naureen Wajahat, Dianne Zhao, Sean Slater, Qing Deng, Esra A. Akba, Beverly A Rothermel, John M. Shelton, Bret M. Evers, Zhidan Wu, Iphigenia Tzameli, Evanthia Pashos, James Kim, John D. Minna, Puneeth Iyengar, and Rodney E. Infante</w:t>
            </w:r>
            <w:r w:rsidR="00DC6D90" w:rsidRPr="00DC6D90">
              <w:rPr>
                <w:u w:val="single"/>
              </w:rPr>
              <w:t>. </w:t>
            </w:r>
            <w:hyperlink r:id="rId8" w:history="1">
              <w:r w:rsidR="00DC6D90" w:rsidRPr="00441B1E">
                <w:rPr>
                  <w:rStyle w:val="Hyperlink"/>
                </w:rPr>
                <w:t xml:space="preserve">Cancer Cachexia in STK11/LKB1 -mutated </w:t>
              </w:r>
              <w:r w:rsidRPr="00441B1E">
                <w:rPr>
                  <w:rStyle w:val="Hyperlink"/>
                </w:rPr>
                <w:t>Non-Small Cell Lung Cancer</w:t>
              </w:r>
              <w:r w:rsidR="00DC6D90" w:rsidRPr="00441B1E">
                <w:rPr>
                  <w:rStyle w:val="Hyperlink"/>
                </w:rPr>
                <w:t xml:space="preserve"> is Dependent on Tumor-secreted GDF15</w:t>
              </w:r>
            </w:hyperlink>
            <w:r w:rsidR="00DC6D90" w:rsidRPr="005D2504">
              <w:t>. </w:t>
            </w:r>
            <w:r w:rsidR="005D2504" w:rsidRPr="00441B1E">
              <w:rPr>
                <w:i/>
                <w:iCs/>
                <w:u w:val="single"/>
              </w:rPr>
              <w:t>Nat Commun</w:t>
            </w:r>
            <w:r w:rsidR="005D2504" w:rsidRPr="00441B1E">
              <w:rPr>
                <w:u w:val="single"/>
              </w:rPr>
              <w:t> </w:t>
            </w:r>
            <w:r w:rsidR="005D2504" w:rsidRPr="00441B1E">
              <w:rPr>
                <w:b/>
                <w:bCs/>
                <w:u w:val="single"/>
              </w:rPr>
              <w:t>17</w:t>
            </w:r>
            <w:r w:rsidR="005D2504" w:rsidRPr="00441B1E">
              <w:rPr>
                <w:u w:val="single"/>
              </w:rPr>
              <w:t>, 2182 (2026).</w:t>
            </w:r>
            <w:r w:rsidR="00441B1E" w:rsidRPr="00441B1E">
              <w:rPr>
                <w:u w:val="single"/>
              </w:rPr>
              <w:t xml:space="preserve"> Doi: 10.1038/s41467-026-68702-y. </w:t>
            </w:r>
            <w:r w:rsidR="00441B1E" w:rsidRPr="00DC6D90">
              <w:rPr>
                <w:u w:val="single"/>
              </w:rPr>
              <w:t>PubMed PMID:</w:t>
            </w:r>
            <w:r w:rsidR="00441B1E">
              <w:rPr>
                <w:u w:val="single"/>
              </w:rPr>
              <w:t xml:space="preserve"> </w:t>
            </w:r>
            <w:r w:rsidR="00441B1E" w:rsidRPr="00441B1E">
              <w:rPr>
                <w:u w:val="single"/>
              </w:rPr>
              <w:t>41617691</w:t>
            </w:r>
            <w:r w:rsidR="00441B1E">
              <w:rPr>
                <w:u w:val="single"/>
              </w:rPr>
              <w:t>;</w:t>
            </w:r>
            <w:r w:rsidR="00441B1E" w:rsidRPr="00DC6D90">
              <w:rPr>
                <w:u w:val="single"/>
              </w:rPr>
              <w:t xml:space="preserve"> PubMed Central PMCID:</w:t>
            </w:r>
            <w:r w:rsidR="00441B1E">
              <w:rPr>
                <w:u w:val="single"/>
              </w:rPr>
              <w:t xml:space="preserve"> </w:t>
            </w:r>
            <w:r w:rsidR="00441B1E" w:rsidRPr="00441B1E">
              <w:rPr>
                <w:u w:val="single"/>
              </w:rPr>
              <w:t>PMC12960653</w:t>
            </w:r>
            <w:r w:rsidR="00381E0F">
              <w:rPr>
                <w:u w:val="single"/>
              </w:rPr>
              <w:t>.</w:t>
            </w:r>
          </w:p>
        </w:tc>
      </w:tr>
      <w:tr w:rsidR="00E43744" w:rsidRPr="002E0E97" w14:paraId="73C0A084" w14:textId="77777777" w:rsidTr="00B7304A">
        <w:trPr>
          <w:trHeight w:val="360"/>
        </w:trPr>
        <w:tc>
          <w:tcPr>
            <w:tcW w:w="720" w:type="dxa"/>
          </w:tcPr>
          <w:p w14:paraId="4C0FA0C7" w14:textId="77777777" w:rsidR="00E43744" w:rsidRPr="00E43744" w:rsidRDefault="00E43744" w:rsidP="00B4095F">
            <w:pPr>
              <w:numPr>
                <w:ilvl w:val="0"/>
                <w:numId w:val="4"/>
              </w:numPr>
              <w:ind w:left="360"/>
            </w:pPr>
          </w:p>
        </w:tc>
        <w:tc>
          <w:tcPr>
            <w:tcW w:w="9492" w:type="dxa"/>
          </w:tcPr>
          <w:p w14:paraId="0E97E1DD" w14:textId="10C7150A" w:rsidR="00E43744" w:rsidRPr="002E0E97" w:rsidRDefault="00DC6D90" w:rsidP="00B4095F">
            <w:pPr>
              <w:rPr>
                <w:u w:val="single"/>
              </w:rPr>
            </w:pPr>
            <w:r w:rsidRPr="00DC6D90">
              <w:rPr>
                <w:u w:val="single"/>
              </w:rPr>
              <w:t xml:space="preserve">Iyengar P, Gandhi AY, Granados J, Guo T, Gupta A, </w:t>
            </w:r>
            <w:r w:rsidRPr="00DC6D90">
              <w:rPr>
                <w:b/>
                <w:bCs/>
                <w:u w:val="single"/>
              </w:rPr>
              <w:t>Yu J</w:t>
            </w:r>
            <w:r w:rsidRPr="00DC6D90">
              <w:rPr>
                <w:u w:val="single"/>
              </w:rPr>
              <w:t>, Llano EM, Zhang F, Gao A, Kandathil A, Williams D, Gao B, Girard L, Malladi VS, Shelton JM, Evers BM, Hannan R, Ahn C, Minna JD, Infante RE. </w:t>
            </w:r>
            <w:hyperlink r:id="rId9" w:history="1">
              <w:r w:rsidRPr="00DC6D90">
                <w:rPr>
                  <w:rStyle w:val="Hyperlink"/>
                </w:rPr>
                <w:t>Tumor loss-of-function mutations in STK11/LKB1 induce cachexia. </w:t>
              </w:r>
            </w:hyperlink>
            <w:r w:rsidRPr="00DC6D90">
              <w:rPr>
                <w:u w:val="single"/>
              </w:rPr>
              <w:t>JCI Insight. 2023 Apr 24;8(8). doi: 10.1172/jci.insight.165419. PubMed PMID: 37092555; PubMed Central PMCID: PMC10243820.</w:t>
            </w:r>
          </w:p>
        </w:tc>
      </w:tr>
      <w:tr w:rsidR="00E43744" w:rsidRPr="002E0E97" w14:paraId="64DA7D55" w14:textId="77777777" w:rsidTr="00B7304A">
        <w:trPr>
          <w:trHeight w:val="360"/>
        </w:trPr>
        <w:tc>
          <w:tcPr>
            <w:tcW w:w="720" w:type="dxa"/>
          </w:tcPr>
          <w:p w14:paraId="3FDAE1DD" w14:textId="77777777" w:rsidR="00E43744" w:rsidRPr="00E43744" w:rsidRDefault="00E43744" w:rsidP="00B4095F">
            <w:pPr>
              <w:numPr>
                <w:ilvl w:val="0"/>
                <w:numId w:val="4"/>
              </w:numPr>
              <w:ind w:left="360"/>
            </w:pPr>
          </w:p>
        </w:tc>
        <w:tc>
          <w:tcPr>
            <w:tcW w:w="9492" w:type="dxa"/>
          </w:tcPr>
          <w:p w14:paraId="4B17A324" w14:textId="39576027" w:rsidR="00E43744" w:rsidRPr="00DC6D90" w:rsidRDefault="00DC6D90" w:rsidP="00B4095F">
            <w:pPr>
              <w:rPr>
                <w:b/>
                <w:bCs/>
                <w:u w:val="single"/>
              </w:rPr>
            </w:pPr>
            <w:r w:rsidRPr="00DC6D90">
              <w:rPr>
                <w:u w:val="single"/>
              </w:rPr>
              <w:t xml:space="preserve">Gandhi AY, </w:t>
            </w:r>
            <w:r w:rsidRPr="00DC6D90">
              <w:rPr>
                <w:b/>
                <w:bCs/>
                <w:u w:val="single"/>
              </w:rPr>
              <w:t>Yu J</w:t>
            </w:r>
            <w:r w:rsidRPr="00DC6D90">
              <w:rPr>
                <w:u w:val="single"/>
              </w:rPr>
              <w:t>, Gupta A, Guo T, Iyengar P, Infante RE. </w:t>
            </w:r>
            <w:hyperlink r:id="rId10" w:history="1">
              <w:r w:rsidRPr="00DC6D90">
                <w:rPr>
                  <w:rStyle w:val="Hyperlink"/>
                </w:rPr>
                <w:t>Cytokine-Mediated STAT3 Transcription Supports ATGL/CGI-58-Dependent Adipocyte Lipolysis in Cancer Cachexia. </w:t>
              </w:r>
            </w:hyperlink>
            <w:r w:rsidRPr="00DC6D90">
              <w:rPr>
                <w:u w:val="single"/>
              </w:rPr>
              <w:t>Front Oncol. 2022;12:841758. doi: 10.3389/fonc.2022.841758. eCollection 2022. PubMed PMID: 35785158; PubMed Central PMCID: PMC9240385.</w:t>
            </w:r>
          </w:p>
        </w:tc>
      </w:tr>
      <w:tr w:rsidR="00E43744" w:rsidRPr="002E0E97" w14:paraId="75C52543" w14:textId="77777777" w:rsidTr="00B7304A">
        <w:trPr>
          <w:trHeight w:val="360"/>
        </w:trPr>
        <w:tc>
          <w:tcPr>
            <w:tcW w:w="720" w:type="dxa"/>
          </w:tcPr>
          <w:p w14:paraId="2D071D3E" w14:textId="77777777" w:rsidR="00E43744" w:rsidRPr="00E43744" w:rsidRDefault="00E43744" w:rsidP="00B4095F">
            <w:pPr>
              <w:numPr>
                <w:ilvl w:val="0"/>
                <w:numId w:val="4"/>
              </w:numPr>
              <w:ind w:left="360"/>
            </w:pPr>
          </w:p>
        </w:tc>
        <w:tc>
          <w:tcPr>
            <w:tcW w:w="9492" w:type="dxa"/>
          </w:tcPr>
          <w:p w14:paraId="04F99491" w14:textId="4E6F1137" w:rsidR="00E43744" w:rsidRPr="002E0E97" w:rsidRDefault="00DC6D90" w:rsidP="00B4095F">
            <w:pPr>
              <w:rPr>
                <w:u w:val="single"/>
              </w:rPr>
            </w:pPr>
            <w:r w:rsidRPr="00DC6D90">
              <w:rPr>
                <w:u w:val="single"/>
              </w:rPr>
              <w:t xml:space="preserve">Guo T, Gupta A, </w:t>
            </w:r>
            <w:r w:rsidRPr="00DC6D90">
              <w:rPr>
                <w:b/>
                <w:bCs/>
                <w:u w:val="single"/>
              </w:rPr>
              <w:t>Yu J</w:t>
            </w:r>
            <w:r w:rsidRPr="00DC6D90">
              <w:rPr>
                <w:u w:val="single"/>
              </w:rPr>
              <w:t>, Granados JZ, Gandhi AY, Evers BM, Iyengar P, Infante RE. </w:t>
            </w:r>
            <w:hyperlink r:id="rId11" w:history="1">
              <w:r w:rsidRPr="00DC6D90">
                <w:rPr>
                  <w:rStyle w:val="Hyperlink"/>
                </w:rPr>
                <w:t>LIFR-α-dependent adipocyte signaling in obesity limits adipose expansion contributing to fatty liver disease. </w:t>
              </w:r>
            </w:hyperlink>
            <w:r w:rsidRPr="00DC6D90">
              <w:rPr>
                <w:u w:val="single"/>
              </w:rPr>
              <w:t>iScience. 2021 Mar 19;24(3):102227. doi: 10.1016/j.isci.2021.102227. eCollection 2021 Mar 19. PubMed PMID: 33748712; PubMed Central PMCID: PMC7970148.</w:t>
            </w:r>
          </w:p>
        </w:tc>
      </w:tr>
      <w:tr w:rsidR="00E43744" w:rsidRPr="002E0E97" w14:paraId="251A8B3B" w14:textId="77777777" w:rsidTr="00B7304A">
        <w:trPr>
          <w:trHeight w:val="360"/>
        </w:trPr>
        <w:tc>
          <w:tcPr>
            <w:tcW w:w="720" w:type="dxa"/>
          </w:tcPr>
          <w:p w14:paraId="27336A16" w14:textId="77777777" w:rsidR="00E43744" w:rsidRPr="00E43744" w:rsidRDefault="00E43744" w:rsidP="00B4095F">
            <w:pPr>
              <w:numPr>
                <w:ilvl w:val="0"/>
                <w:numId w:val="4"/>
              </w:numPr>
              <w:ind w:left="360"/>
            </w:pPr>
          </w:p>
        </w:tc>
        <w:tc>
          <w:tcPr>
            <w:tcW w:w="9492" w:type="dxa"/>
          </w:tcPr>
          <w:p w14:paraId="7A799373" w14:textId="38705837" w:rsidR="00E43744" w:rsidRPr="002E0E97" w:rsidRDefault="00DC6D90" w:rsidP="00B4095F">
            <w:pPr>
              <w:rPr>
                <w:u w:val="single"/>
              </w:rPr>
            </w:pPr>
            <w:r w:rsidRPr="00DC6D90">
              <w:rPr>
                <w:b/>
                <w:bCs/>
                <w:u w:val="single"/>
              </w:rPr>
              <w:t>Yu J</w:t>
            </w:r>
            <w:r w:rsidRPr="00DC6D90">
              <w:rPr>
                <w:u w:val="single"/>
              </w:rPr>
              <w:t>, Zhang L, Li Y, Zhu X, Xu S, Zhou XM, Wang H, Zhang H, Liang B, Liu P. </w:t>
            </w:r>
            <w:hyperlink r:id="rId12" w:history="1">
              <w:r w:rsidRPr="00DC6D90">
                <w:rPr>
                  <w:rStyle w:val="Hyperlink"/>
                </w:rPr>
                <w:t>The Adrenal Lipid Droplet is a New Site for Steroid Hormone Metabolism. </w:t>
              </w:r>
            </w:hyperlink>
            <w:r w:rsidRPr="00DC6D90">
              <w:rPr>
                <w:u w:val="single"/>
              </w:rPr>
              <w:t>Proteomics. 2018 Dec;18(23):e1800136. doi: 10.1002/pmic.201800136. PubMed PMID: 30358111.</w:t>
            </w:r>
          </w:p>
        </w:tc>
      </w:tr>
      <w:tr w:rsidR="00E43744" w:rsidRPr="002E0E97" w14:paraId="3EF50602" w14:textId="77777777" w:rsidTr="00B7304A">
        <w:trPr>
          <w:trHeight w:val="360"/>
        </w:trPr>
        <w:tc>
          <w:tcPr>
            <w:tcW w:w="720" w:type="dxa"/>
          </w:tcPr>
          <w:p w14:paraId="065C1201" w14:textId="77777777" w:rsidR="00E43744" w:rsidRPr="00E43744" w:rsidRDefault="00E43744" w:rsidP="00B4095F">
            <w:pPr>
              <w:numPr>
                <w:ilvl w:val="0"/>
                <w:numId w:val="4"/>
              </w:numPr>
              <w:ind w:left="360"/>
            </w:pPr>
          </w:p>
        </w:tc>
        <w:tc>
          <w:tcPr>
            <w:tcW w:w="9492" w:type="dxa"/>
          </w:tcPr>
          <w:p w14:paraId="152B735A" w14:textId="7BBE3A49" w:rsidR="00DC6D90" w:rsidRPr="002E0E97" w:rsidRDefault="00DC6D90" w:rsidP="00B4095F">
            <w:pPr>
              <w:rPr>
                <w:u w:val="single"/>
              </w:rPr>
            </w:pPr>
            <w:r w:rsidRPr="00DC6D90">
              <w:rPr>
                <w:b/>
                <w:bCs/>
                <w:u w:val="single"/>
              </w:rPr>
              <w:t>Yu J</w:t>
            </w:r>
            <w:r w:rsidRPr="00DC6D90">
              <w:rPr>
                <w:u w:val="single"/>
              </w:rPr>
              <w:t>, Zhang S, Cui L, Wang W, Na H, Zhu X, Li L, Xu G, Yang F, Christian M, Liu P. </w:t>
            </w:r>
            <w:hyperlink r:id="rId13" w:history="1">
              <w:r w:rsidRPr="00DC6D90">
                <w:rPr>
                  <w:rStyle w:val="Hyperlink"/>
                </w:rPr>
                <w:t>Lipid droplet remodeling and interaction with mitochondria in mouse brown adipose tissue during cold treatment. </w:t>
              </w:r>
            </w:hyperlink>
            <w:r w:rsidRPr="00DC6D90">
              <w:rPr>
                <w:u w:val="single"/>
              </w:rPr>
              <w:t>Biochim Biophys Acta. 2015 May;1853(5):918-28. doi: 10.1016/j.bbamcr.2015.01.020. Epub 2015 Feb 2. PubMed PMID: 25655664.</w:t>
            </w:r>
          </w:p>
        </w:tc>
      </w:tr>
      <w:tr w:rsidR="00DC6D90" w:rsidRPr="002E0E97" w14:paraId="4C6EB8A6" w14:textId="77777777" w:rsidTr="00B7304A">
        <w:trPr>
          <w:trHeight w:val="360"/>
        </w:trPr>
        <w:tc>
          <w:tcPr>
            <w:tcW w:w="720" w:type="dxa"/>
          </w:tcPr>
          <w:p w14:paraId="1437BB2A" w14:textId="77777777" w:rsidR="00DC6D90" w:rsidRPr="00E43744" w:rsidRDefault="00DC6D90" w:rsidP="00B4095F">
            <w:pPr>
              <w:numPr>
                <w:ilvl w:val="0"/>
                <w:numId w:val="4"/>
              </w:numPr>
              <w:ind w:left="360"/>
            </w:pPr>
          </w:p>
        </w:tc>
        <w:tc>
          <w:tcPr>
            <w:tcW w:w="9492" w:type="dxa"/>
          </w:tcPr>
          <w:p w14:paraId="3913ECC3" w14:textId="3FB7F844" w:rsidR="00DC6D90" w:rsidRPr="00DC6D90" w:rsidRDefault="00DC6D90" w:rsidP="00DC6D90">
            <w:pPr>
              <w:rPr>
                <w:u w:val="single"/>
              </w:rPr>
            </w:pPr>
            <w:r w:rsidRPr="00DC6D90">
              <w:rPr>
                <w:b/>
                <w:bCs/>
                <w:u w:val="single"/>
              </w:rPr>
              <w:t>Yu J</w:t>
            </w:r>
            <w:r w:rsidRPr="00DC6D90">
              <w:rPr>
                <w:u w:val="single"/>
              </w:rPr>
              <w:t>, Li Y, Zou F, Xu S, Liu P. </w:t>
            </w:r>
            <w:hyperlink r:id="rId14" w:history="1">
              <w:r w:rsidRPr="00DC6D90">
                <w:rPr>
                  <w:rStyle w:val="Hyperlink"/>
                </w:rPr>
                <w:t>Phosphorylation and function of DGAT1 in skeletal muscle cells. </w:t>
              </w:r>
            </w:hyperlink>
            <w:r w:rsidRPr="00DC6D90">
              <w:rPr>
                <w:u w:val="single"/>
              </w:rPr>
              <w:t>Biophys Rep. 2015;1:41-50. doi: 10.1007/s41048-015-0004-1. Epub 2015 Aug 21. PubMed PMID: 26942218; PubMed Central PMCID: PMC4762128.</w:t>
            </w:r>
          </w:p>
        </w:tc>
      </w:tr>
      <w:tr w:rsidR="00DC6D90" w:rsidRPr="002E0E97" w14:paraId="7BFDAC63" w14:textId="77777777" w:rsidTr="00B7304A">
        <w:trPr>
          <w:trHeight w:val="360"/>
        </w:trPr>
        <w:tc>
          <w:tcPr>
            <w:tcW w:w="720" w:type="dxa"/>
          </w:tcPr>
          <w:p w14:paraId="301014B8" w14:textId="77777777" w:rsidR="00DC6D90" w:rsidRPr="00E43744" w:rsidRDefault="00DC6D90" w:rsidP="00B4095F">
            <w:pPr>
              <w:numPr>
                <w:ilvl w:val="0"/>
                <w:numId w:val="4"/>
              </w:numPr>
              <w:ind w:left="360"/>
            </w:pPr>
          </w:p>
        </w:tc>
        <w:tc>
          <w:tcPr>
            <w:tcW w:w="9492" w:type="dxa"/>
          </w:tcPr>
          <w:p w14:paraId="0CF8CC08" w14:textId="5CF21BE4" w:rsidR="00DC6D90" w:rsidRPr="00DC6D90" w:rsidRDefault="00DC6D90" w:rsidP="00DC6D90">
            <w:pPr>
              <w:rPr>
                <w:u w:val="single"/>
              </w:rPr>
            </w:pPr>
            <w:r w:rsidRPr="00DC6D90">
              <w:rPr>
                <w:u w:val="single"/>
              </w:rPr>
              <w:t>Chen Y</w:t>
            </w:r>
            <w:r>
              <w:rPr>
                <w:u w:val="single"/>
              </w:rPr>
              <w:t>*</w:t>
            </w:r>
            <w:r w:rsidRPr="00DC6D90">
              <w:rPr>
                <w:u w:val="single"/>
              </w:rPr>
              <w:t>, Ding Y</w:t>
            </w:r>
            <w:r>
              <w:rPr>
                <w:u w:val="single"/>
              </w:rPr>
              <w:t>*</w:t>
            </w:r>
            <w:r w:rsidRPr="00DC6D90">
              <w:rPr>
                <w:u w:val="single"/>
              </w:rPr>
              <w:t>, Yang L</w:t>
            </w:r>
            <w:r>
              <w:rPr>
                <w:u w:val="single"/>
              </w:rPr>
              <w:t>*</w:t>
            </w:r>
            <w:r w:rsidRPr="00DC6D90">
              <w:rPr>
                <w:u w:val="single"/>
              </w:rPr>
              <w:t xml:space="preserve">, </w:t>
            </w:r>
            <w:r w:rsidRPr="00DC6D90">
              <w:rPr>
                <w:b/>
                <w:bCs/>
                <w:u w:val="single"/>
              </w:rPr>
              <w:t>Yu J</w:t>
            </w:r>
            <w:r>
              <w:rPr>
                <w:u w:val="single"/>
              </w:rPr>
              <w:t>*</w:t>
            </w:r>
            <w:r w:rsidRPr="00DC6D90">
              <w:rPr>
                <w:u w:val="single"/>
              </w:rPr>
              <w:t>, Liu G, Wang X, Zhang S, Yu D, Song L, Zhang H, Zhang C, Huo L, Huo C, Wang Y, Du Y, Zhang H, Zhang P, Na H, Xu S, Zhu Y, Xie Z, He T, Zhang Y, Wang G, Fan Z, Yang F, Liu H, Wang X, Zhang X, Zhang MQ, Li Y, Steinbüchel A, Fujimoto T, Cichello S, Yu J, Liu P. </w:t>
            </w:r>
            <w:hyperlink r:id="rId15" w:history="1">
              <w:r w:rsidRPr="00DC6D90">
                <w:rPr>
                  <w:rStyle w:val="Hyperlink"/>
                </w:rPr>
                <w:t>Integrated omics study delineates the dynamics of lipid droplets in Rhodococcus opacus PD630. </w:t>
              </w:r>
            </w:hyperlink>
            <w:r w:rsidRPr="00DC6D90">
              <w:rPr>
                <w:u w:val="single"/>
              </w:rPr>
              <w:t>Nucleic Acids Res. 2014 Jan;42(2):1052-64. doi: 10.1093/nar/gkt932. Epub 2013 Oct 22. PubMed PMID: 24150943; PubMed Central PMCID: PMC3902926.</w:t>
            </w:r>
          </w:p>
          <w:p w14:paraId="73F79435" w14:textId="77777777" w:rsidR="00DC6D90" w:rsidRPr="00DC6D90" w:rsidRDefault="00DC6D90" w:rsidP="00DC6D90">
            <w:pPr>
              <w:rPr>
                <w:b/>
                <w:bCs/>
                <w:u w:val="single"/>
              </w:rPr>
            </w:pPr>
          </w:p>
        </w:tc>
      </w:tr>
    </w:tbl>
    <w:p w14:paraId="58F44B0C" w14:textId="77777777" w:rsidR="00E43744" w:rsidRPr="002E0E97" w:rsidRDefault="00E43744" w:rsidP="00B4095F">
      <w:pPr>
        <w:ind w:left="120"/>
        <w:rPr>
          <w:u w:val="single"/>
        </w:rPr>
      </w:pPr>
    </w:p>
    <w:p w14:paraId="0D4A681F" w14:textId="77777777" w:rsidR="00E440BA" w:rsidRDefault="00E440BA" w:rsidP="00B4095F">
      <w:pPr>
        <w:tabs>
          <w:tab w:val="num" w:pos="1800"/>
        </w:tabs>
        <w:ind w:left="120"/>
        <w:rPr>
          <w:u w:val="single"/>
          <w:lang w:eastAsia="zh-CN"/>
        </w:rPr>
      </w:pPr>
    </w:p>
    <w:p w14:paraId="79AB64FA" w14:textId="77777777" w:rsidR="00E440BA" w:rsidRDefault="00E440BA" w:rsidP="00B4095F">
      <w:pPr>
        <w:tabs>
          <w:tab w:val="num" w:pos="1800"/>
        </w:tabs>
        <w:ind w:left="120"/>
        <w:rPr>
          <w:u w:val="single"/>
          <w:lang w:eastAsia="zh-CN"/>
        </w:rPr>
      </w:pPr>
    </w:p>
    <w:p w14:paraId="23BAD63A" w14:textId="77777777" w:rsidR="00E440BA" w:rsidRDefault="00E440BA" w:rsidP="00B4095F">
      <w:pPr>
        <w:tabs>
          <w:tab w:val="num" w:pos="1800"/>
        </w:tabs>
        <w:ind w:left="120"/>
        <w:rPr>
          <w:u w:val="single"/>
          <w:lang w:eastAsia="zh-CN"/>
        </w:rPr>
      </w:pPr>
    </w:p>
    <w:p w14:paraId="2EF000C6" w14:textId="3F4DB8E4" w:rsidR="00AD06BD" w:rsidRPr="002E0E97" w:rsidRDefault="00AD06BD" w:rsidP="00B4095F">
      <w:pPr>
        <w:tabs>
          <w:tab w:val="num" w:pos="1800"/>
        </w:tabs>
        <w:ind w:left="120"/>
        <w:rPr>
          <w:u w:val="single"/>
        </w:rPr>
      </w:pPr>
      <w:r w:rsidRPr="002E0E97">
        <w:rPr>
          <w:u w:val="single"/>
        </w:rPr>
        <w:lastRenderedPageBreak/>
        <w:t xml:space="preserve">Reviews, </w:t>
      </w:r>
      <w:r w:rsidR="004E49F7">
        <w:rPr>
          <w:u w:val="single"/>
        </w:rPr>
        <w:t xml:space="preserve">Book </w:t>
      </w:r>
      <w:r w:rsidR="006A19F2">
        <w:rPr>
          <w:u w:val="single"/>
        </w:rPr>
        <w:t>C</w:t>
      </w:r>
      <w:r w:rsidRPr="002E0E97">
        <w:rPr>
          <w:u w:val="single"/>
        </w:rPr>
        <w:t xml:space="preserve">hapters, </w:t>
      </w:r>
      <w:r w:rsidR="006A19F2">
        <w:rPr>
          <w:u w:val="single"/>
        </w:rPr>
        <w:t>M</w:t>
      </w:r>
      <w:r w:rsidRPr="002E0E97">
        <w:rPr>
          <w:u w:val="single"/>
        </w:rPr>
        <w:t xml:space="preserve">onographs and </w:t>
      </w:r>
      <w:r w:rsidR="006A19F2">
        <w:rPr>
          <w:u w:val="single"/>
        </w:rPr>
        <w:t>E</w:t>
      </w:r>
      <w:r w:rsidRPr="002E0E97">
        <w:rPr>
          <w:u w:val="single"/>
        </w:rPr>
        <w:t>ditorials</w:t>
      </w:r>
    </w:p>
    <w:p w14:paraId="485A779B" w14:textId="77777777" w:rsidR="00E43744" w:rsidRPr="002E0E97" w:rsidRDefault="00E43744" w:rsidP="00B4095F">
      <w:pPr>
        <w:tabs>
          <w:tab w:val="num" w:pos="1800"/>
        </w:tabs>
        <w:ind w:left="480"/>
      </w:pPr>
    </w:p>
    <w:tbl>
      <w:tblPr>
        <w:tblStyle w:val="TableGrid"/>
        <w:tblW w:w="0" w:type="auto"/>
        <w:tblInd w:w="22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A0" w:firstRow="1" w:lastRow="0" w:firstColumn="1" w:lastColumn="0" w:noHBand="0" w:noVBand="0"/>
      </w:tblPr>
      <w:tblGrid>
        <w:gridCol w:w="706"/>
        <w:gridCol w:w="9284"/>
      </w:tblGrid>
      <w:tr w:rsidR="00E43744" w:rsidRPr="002E0E97" w14:paraId="067B8A21" w14:textId="77777777" w:rsidTr="00E440BA">
        <w:trPr>
          <w:trHeight w:val="360"/>
        </w:trPr>
        <w:tc>
          <w:tcPr>
            <w:tcW w:w="706" w:type="dxa"/>
          </w:tcPr>
          <w:p w14:paraId="51AB60AE" w14:textId="77777777" w:rsidR="00E43744" w:rsidRPr="00E43744" w:rsidRDefault="00E43744" w:rsidP="00B4095F">
            <w:pPr>
              <w:numPr>
                <w:ilvl w:val="0"/>
                <w:numId w:val="5"/>
              </w:numPr>
              <w:ind w:left="360"/>
            </w:pPr>
          </w:p>
        </w:tc>
        <w:tc>
          <w:tcPr>
            <w:tcW w:w="9284" w:type="dxa"/>
          </w:tcPr>
          <w:p w14:paraId="36A8D837" w14:textId="764E404E" w:rsidR="00E43744" w:rsidRPr="002E0E97" w:rsidRDefault="00DC6D90" w:rsidP="00B4095F">
            <w:pPr>
              <w:rPr>
                <w:u w:val="single"/>
              </w:rPr>
            </w:pPr>
            <w:r w:rsidRPr="00DC6D90">
              <w:rPr>
                <w:b/>
                <w:bCs/>
                <w:u w:val="single"/>
              </w:rPr>
              <w:t>Yu J</w:t>
            </w:r>
            <w:r w:rsidRPr="00DC6D90">
              <w:rPr>
                <w:u w:val="single"/>
              </w:rPr>
              <w:t>, Li P. </w:t>
            </w:r>
            <w:hyperlink r:id="rId16" w:history="1">
              <w:r w:rsidRPr="00DC6D90">
                <w:rPr>
                  <w:rStyle w:val="Hyperlink"/>
                </w:rPr>
                <w:t>The size matters: regulation of lipid storage by lipid droplet dynamics. </w:t>
              </w:r>
            </w:hyperlink>
            <w:r w:rsidRPr="00DC6D90">
              <w:rPr>
                <w:u w:val="single"/>
              </w:rPr>
              <w:t>Sci China Life Sci. 2017 Jan;60(1):46-56. doi: 10.1007/s11427-016-0322-x. Epub 2016 Dec 13. Review. PubMed PMID: 27981432.</w:t>
            </w:r>
          </w:p>
        </w:tc>
      </w:tr>
    </w:tbl>
    <w:p w14:paraId="45CD717A" w14:textId="77777777" w:rsidR="00551CC2" w:rsidRPr="002E0E97" w:rsidRDefault="00AD06BD" w:rsidP="00B4095F">
      <w:pPr>
        <w:tabs>
          <w:tab w:val="num" w:pos="1800"/>
        </w:tabs>
        <w:ind w:left="480"/>
      </w:pPr>
      <w:r w:rsidRPr="002E0E97">
        <w:t xml:space="preserve"> </w:t>
      </w:r>
    </w:p>
    <w:sectPr w:rsidR="00551CC2" w:rsidRPr="002E0E97" w:rsidSect="00D42B32">
      <w:headerReference w:type="default" r:id="rId17"/>
      <w:footerReference w:type="default" r:id="rId18"/>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CB19" w14:textId="77777777" w:rsidR="00B9078A" w:rsidRDefault="00B9078A">
      <w:r>
        <w:separator/>
      </w:r>
    </w:p>
  </w:endnote>
  <w:endnote w:type="continuationSeparator" w:id="0">
    <w:p w14:paraId="3AC8DBF0" w14:textId="77777777" w:rsidR="00B9078A" w:rsidRDefault="00B9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EB9" w14:textId="1AC1D717" w:rsidR="005025DE" w:rsidRDefault="005025DE"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CD1F" w14:textId="77777777" w:rsidR="00B9078A" w:rsidRDefault="00B9078A">
      <w:r>
        <w:separator/>
      </w:r>
    </w:p>
  </w:footnote>
  <w:footnote w:type="continuationSeparator" w:id="0">
    <w:p w14:paraId="2435F7A3" w14:textId="77777777" w:rsidR="00B9078A" w:rsidRDefault="00B9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E7C8" w14:textId="77777777" w:rsidR="005025DE" w:rsidRPr="001B3E81" w:rsidRDefault="005025DE"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C23"/>
    <w:multiLevelType w:val="hybridMultilevel"/>
    <w:tmpl w:val="50CAB64A"/>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 w15:restartNumberingAfterBreak="0">
    <w:nsid w:val="10926640"/>
    <w:multiLevelType w:val="hybridMultilevel"/>
    <w:tmpl w:val="F5706C40"/>
    <w:lvl w:ilvl="0" w:tplc="B220FA7A">
      <w:start w:val="1"/>
      <w:numFmt w:val="bullet"/>
      <w:lvlText w:val=""/>
      <w:lvlJc w:val="left"/>
      <w:pPr>
        <w:tabs>
          <w:tab w:val="num" w:pos="960"/>
        </w:tabs>
        <w:ind w:left="960" w:hanging="360"/>
      </w:pPr>
      <w:rPr>
        <w:rFonts w:ascii="Symbol" w:eastAsia="Times New Roman" w:hAnsi="Symbol" w:hint="default"/>
        <w:color w:val="000000"/>
      </w:rPr>
    </w:lvl>
    <w:lvl w:ilvl="1" w:tplc="00030409">
      <w:start w:val="1"/>
      <w:numFmt w:val="bullet"/>
      <w:lvlText w:val="o"/>
      <w:lvlJc w:val="left"/>
      <w:pPr>
        <w:tabs>
          <w:tab w:val="num" w:pos="1920"/>
        </w:tabs>
        <w:ind w:left="1920" w:hanging="360"/>
      </w:pPr>
      <w:rPr>
        <w:rFonts w:ascii="Courier New" w:hAnsi="Courier New" w:hint="default"/>
      </w:rPr>
    </w:lvl>
    <w:lvl w:ilvl="2" w:tplc="00050409">
      <w:start w:val="1"/>
      <w:numFmt w:val="bullet"/>
      <w:lvlText w:val=""/>
      <w:lvlJc w:val="left"/>
      <w:pPr>
        <w:tabs>
          <w:tab w:val="num" w:pos="2640"/>
        </w:tabs>
        <w:ind w:left="2640" w:hanging="360"/>
      </w:pPr>
      <w:rPr>
        <w:rFonts w:ascii="Wingdings" w:hAnsi="Wingdings" w:hint="default"/>
      </w:rPr>
    </w:lvl>
    <w:lvl w:ilvl="3" w:tplc="00010409">
      <w:start w:val="1"/>
      <w:numFmt w:val="bullet"/>
      <w:lvlText w:val=""/>
      <w:lvlJc w:val="left"/>
      <w:pPr>
        <w:tabs>
          <w:tab w:val="num" w:pos="3360"/>
        </w:tabs>
        <w:ind w:left="3360" w:hanging="360"/>
      </w:pPr>
      <w:rPr>
        <w:rFonts w:ascii="Symbol" w:eastAsia="Times New Roman" w:hAnsi="Symbol" w:hint="default"/>
      </w:rPr>
    </w:lvl>
    <w:lvl w:ilvl="4" w:tplc="00030409">
      <w:start w:val="1"/>
      <w:numFmt w:val="bullet"/>
      <w:lvlText w:val="o"/>
      <w:lvlJc w:val="left"/>
      <w:pPr>
        <w:tabs>
          <w:tab w:val="num" w:pos="4080"/>
        </w:tabs>
        <w:ind w:left="4080" w:hanging="360"/>
      </w:pPr>
      <w:rPr>
        <w:rFonts w:ascii="Courier New" w:hAnsi="Courier New" w:hint="default"/>
      </w:rPr>
    </w:lvl>
    <w:lvl w:ilvl="5" w:tplc="00050409">
      <w:start w:val="1"/>
      <w:numFmt w:val="bullet"/>
      <w:lvlText w:val=""/>
      <w:lvlJc w:val="left"/>
      <w:pPr>
        <w:tabs>
          <w:tab w:val="num" w:pos="4800"/>
        </w:tabs>
        <w:ind w:left="4800" w:hanging="360"/>
      </w:pPr>
      <w:rPr>
        <w:rFonts w:ascii="Wingdings" w:hAnsi="Wingdings" w:hint="default"/>
      </w:rPr>
    </w:lvl>
    <w:lvl w:ilvl="6" w:tplc="00010409">
      <w:start w:val="1"/>
      <w:numFmt w:val="bullet"/>
      <w:lvlText w:val=""/>
      <w:lvlJc w:val="left"/>
      <w:pPr>
        <w:tabs>
          <w:tab w:val="num" w:pos="5520"/>
        </w:tabs>
        <w:ind w:left="5520" w:hanging="360"/>
      </w:pPr>
      <w:rPr>
        <w:rFonts w:ascii="Symbol" w:eastAsia="Times New Roman" w:hAnsi="Symbol" w:hint="default"/>
      </w:rPr>
    </w:lvl>
    <w:lvl w:ilvl="7" w:tplc="00030409">
      <w:start w:val="1"/>
      <w:numFmt w:val="bullet"/>
      <w:lvlText w:val="o"/>
      <w:lvlJc w:val="left"/>
      <w:pPr>
        <w:tabs>
          <w:tab w:val="num" w:pos="6240"/>
        </w:tabs>
        <w:ind w:left="6240" w:hanging="360"/>
      </w:pPr>
      <w:rPr>
        <w:rFonts w:ascii="Courier New" w:hAnsi="Courier New" w:hint="default"/>
      </w:rPr>
    </w:lvl>
    <w:lvl w:ilvl="8" w:tplc="00050409">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1A644B2"/>
    <w:multiLevelType w:val="hybridMultilevel"/>
    <w:tmpl w:val="355690CC"/>
    <w:lvl w:ilvl="0" w:tplc="3A5E4248">
      <w:start w:val="1"/>
      <w:numFmt w:val="bullet"/>
      <w:lvlText w:val=""/>
      <w:lvlJc w:val="left"/>
      <w:pPr>
        <w:tabs>
          <w:tab w:val="num" w:pos="480"/>
        </w:tabs>
        <w:ind w:left="48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4115546"/>
    <w:multiLevelType w:val="hybridMultilevel"/>
    <w:tmpl w:val="36E0B3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C1B239D"/>
    <w:multiLevelType w:val="hybridMultilevel"/>
    <w:tmpl w:val="DAB625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65311C1"/>
    <w:multiLevelType w:val="hybridMultilevel"/>
    <w:tmpl w:val="86000F6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12DB3"/>
    <w:multiLevelType w:val="hybridMultilevel"/>
    <w:tmpl w:val="C3C0347E"/>
    <w:lvl w:ilvl="0" w:tplc="ADC256B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D5465"/>
    <w:multiLevelType w:val="hybridMultilevel"/>
    <w:tmpl w:val="0128C04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71483846"/>
    <w:multiLevelType w:val="hybridMultilevel"/>
    <w:tmpl w:val="03182C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16E5DEA"/>
    <w:multiLevelType w:val="hybridMultilevel"/>
    <w:tmpl w:val="36EEBE54"/>
    <w:lvl w:ilvl="0" w:tplc="1938CF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2395F"/>
    <w:multiLevelType w:val="hybridMultilevel"/>
    <w:tmpl w:val="404C2D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72468BD"/>
    <w:multiLevelType w:val="hybridMultilevel"/>
    <w:tmpl w:val="E732FD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79352A2D"/>
    <w:multiLevelType w:val="hybridMultilevel"/>
    <w:tmpl w:val="C18E06B6"/>
    <w:lvl w:ilvl="0" w:tplc="B220FA7A">
      <w:start w:val="1"/>
      <w:numFmt w:val="bullet"/>
      <w:lvlText w:val=""/>
      <w:lvlJc w:val="left"/>
      <w:pPr>
        <w:tabs>
          <w:tab w:val="num" w:pos="480"/>
        </w:tabs>
        <w:ind w:left="480" w:hanging="360"/>
      </w:pPr>
      <w:rPr>
        <w:rFonts w:ascii="Symbol" w:eastAsia="Times New Roman" w:hAnsi="Symbol" w:hint="default"/>
        <w:color w:val="000000"/>
      </w:rPr>
    </w:lvl>
    <w:lvl w:ilvl="1" w:tplc="00030409">
      <w:start w:val="1"/>
      <w:numFmt w:val="bullet"/>
      <w:lvlText w:val="o"/>
      <w:lvlJc w:val="left"/>
      <w:pPr>
        <w:tabs>
          <w:tab w:val="num" w:pos="1440"/>
        </w:tabs>
        <w:ind w:left="1440" w:hanging="360"/>
      </w:pPr>
      <w:rPr>
        <w:rFonts w:ascii="Courier New" w:hAnsi="Courier New" w:hint="default"/>
        <w:color w:val="000000"/>
      </w:rPr>
    </w:lvl>
    <w:lvl w:ilvl="2" w:tplc="00050409">
      <w:start w:val="1"/>
      <w:numFmt w:val="bullet"/>
      <w:lvlText w:val=""/>
      <w:lvlJc w:val="left"/>
      <w:pPr>
        <w:tabs>
          <w:tab w:val="num" w:pos="1080"/>
        </w:tabs>
        <w:ind w:left="1080" w:hanging="360"/>
      </w:pPr>
      <w:rPr>
        <w:rFonts w:ascii="Wingdings" w:hAnsi="Wingdings" w:hint="default"/>
        <w:color w:val="000000"/>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932084448">
    <w:abstractNumId w:val="1"/>
  </w:num>
  <w:num w:numId="2" w16cid:durableId="1272280506">
    <w:abstractNumId w:val="15"/>
  </w:num>
  <w:num w:numId="3" w16cid:durableId="83307418">
    <w:abstractNumId w:val="2"/>
  </w:num>
  <w:num w:numId="4" w16cid:durableId="530805217">
    <w:abstractNumId w:val="6"/>
  </w:num>
  <w:num w:numId="5" w16cid:durableId="249513263">
    <w:abstractNumId w:val="3"/>
  </w:num>
  <w:num w:numId="6" w16cid:durableId="178010476">
    <w:abstractNumId w:val="14"/>
  </w:num>
  <w:num w:numId="7" w16cid:durableId="1971086804">
    <w:abstractNumId w:val="10"/>
  </w:num>
  <w:num w:numId="8" w16cid:durableId="1581937753">
    <w:abstractNumId w:val="13"/>
  </w:num>
  <w:num w:numId="9" w16cid:durableId="999381244">
    <w:abstractNumId w:val="5"/>
  </w:num>
  <w:num w:numId="10" w16cid:durableId="1142232087">
    <w:abstractNumId w:val="0"/>
  </w:num>
  <w:num w:numId="11" w16cid:durableId="1794667627">
    <w:abstractNumId w:val="4"/>
  </w:num>
  <w:num w:numId="12" w16cid:durableId="625939393">
    <w:abstractNumId w:val="12"/>
  </w:num>
  <w:num w:numId="13" w16cid:durableId="1479804310">
    <w:abstractNumId w:val="7"/>
  </w:num>
  <w:num w:numId="14" w16cid:durableId="1094939096">
    <w:abstractNumId w:val="11"/>
  </w:num>
  <w:num w:numId="15" w16cid:durableId="2093577620">
    <w:abstractNumId w:val="8"/>
  </w:num>
  <w:num w:numId="16" w16cid:durableId="200759126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3"/>
  <w:embedSystemFonts/>
  <w:proofState w:spelling="clean" w:grammar="clean"/>
  <w:documentProtection w:formatting="1" w:enforcement="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6F74"/>
    <w:rsid w:val="000202B5"/>
    <w:rsid w:val="000426E7"/>
    <w:rsid w:val="000453DF"/>
    <w:rsid w:val="0004589C"/>
    <w:rsid w:val="00047DD8"/>
    <w:rsid w:val="00053780"/>
    <w:rsid w:val="00067FBC"/>
    <w:rsid w:val="000970F9"/>
    <w:rsid w:val="000A4B38"/>
    <w:rsid w:val="000A4F60"/>
    <w:rsid w:val="000C7077"/>
    <w:rsid w:val="000D1C03"/>
    <w:rsid w:val="00102AE2"/>
    <w:rsid w:val="00111649"/>
    <w:rsid w:val="00116F0D"/>
    <w:rsid w:val="00126975"/>
    <w:rsid w:val="00145DFC"/>
    <w:rsid w:val="00171488"/>
    <w:rsid w:val="00193BBE"/>
    <w:rsid w:val="00194B44"/>
    <w:rsid w:val="001B3E81"/>
    <w:rsid w:val="001D0241"/>
    <w:rsid w:val="001D2BE2"/>
    <w:rsid w:val="001E2558"/>
    <w:rsid w:val="001E5EA1"/>
    <w:rsid w:val="001F6C1A"/>
    <w:rsid w:val="0020645B"/>
    <w:rsid w:val="002319B2"/>
    <w:rsid w:val="00265BDB"/>
    <w:rsid w:val="00267B29"/>
    <w:rsid w:val="00283240"/>
    <w:rsid w:val="002B2145"/>
    <w:rsid w:val="002E0E97"/>
    <w:rsid w:val="00317A22"/>
    <w:rsid w:val="00320792"/>
    <w:rsid w:val="003210B2"/>
    <w:rsid w:val="003235CC"/>
    <w:rsid w:val="0034082B"/>
    <w:rsid w:val="003602EF"/>
    <w:rsid w:val="00381E0F"/>
    <w:rsid w:val="003918D8"/>
    <w:rsid w:val="003979AB"/>
    <w:rsid w:val="003B25CE"/>
    <w:rsid w:val="00412840"/>
    <w:rsid w:val="0041416C"/>
    <w:rsid w:val="00441B1E"/>
    <w:rsid w:val="0044352D"/>
    <w:rsid w:val="004445B1"/>
    <w:rsid w:val="004502B7"/>
    <w:rsid w:val="004524BD"/>
    <w:rsid w:val="004816E1"/>
    <w:rsid w:val="00485406"/>
    <w:rsid w:val="004B411A"/>
    <w:rsid w:val="004C1F50"/>
    <w:rsid w:val="004C2A0C"/>
    <w:rsid w:val="004C57DA"/>
    <w:rsid w:val="004D190B"/>
    <w:rsid w:val="004E25D3"/>
    <w:rsid w:val="004E39C5"/>
    <w:rsid w:val="004E48F8"/>
    <w:rsid w:val="004E49F7"/>
    <w:rsid w:val="004E6DEC"/>
    <w:rsid w:val="004F5875"/>
    <w:rsid w:val="005025DE"/>
    <w:rsid w:val="005171E1"/>
    <w:rsid w:val="005366E7"/>
    <w:rsid w:val="005442B7"/>
    <w:rsid w:val="00551CC2"/>
    <w:rsid w:val="005715AE"/>
    <w:rsid w:val="00581951"/>
    <w:rsid w:val="00586952"/>
    <w:rsid w:val="00597391"/>
    <w:rsid w:val="005A12A9"/>
    <w:rsid w:val="005B6E93"/>
    <w:rsid w:val="005C5C55"/>
    <w:rsid w:val="005D2504"/>
    <w:rsid w:val="005D2FA9"/>
    <w:rsid w:val="005F6801"/>
    <w:rsid w:val="006344EA"/>
    <w:rsid w:val="0066454D"/>
    <w:rsid w:val="00693858"/>
    <w:rsid w:val="006A19F2"/>
    <w:rsid w:val="006B67C2"/>
    <w:rsid w:val="006C2AB3"/>
    <w:rsid w:val="006E3CF6"/>
    <w:rsid w:val="006F2076"/>
    <w:rsid w:val="006F28B6"/>
    <w:rsid w:val="007111B8"/>
    <w:rsid w:val="00732FE4"/>
    <w:rsid w:val="007376D1"/>
    <w:rsid w:val="00737EA2"/>
    <w:rsid w:val="00745202"/>
    <w:rsid w:val="00762DEE"/>
    <w:rsid w:val="0078277B"/>
    <w:rsid w:val="00793547"/>
    <w:rsid w:val="007943E3"/>
    <w:rsid w:val="007A18EE"/>
    <w:rsid w:val="007B4EF5"/>
    <w:rsid w:val="007C0202"/>
    <w:rsid w:val="007C46CF"/>
    <w:rsid w:val="007C6397"/>
    <w:rsid w:val="007D5569"/>
    <w:rsid w:val="007F1DFA"/>
    <w:rsid w:val="007F211A"/>
    <w:rsid w:val="007F6EB3"/>
    <w:rsid w:val="0081128E"/>
    <w:rsid w:val="00812A12"/>
    <w:rsid w:val="008367FF"/>
    <w:rsid w:val="0084336F"/>
    <w:rsid w:val="00843573"/>
    <w:rsid w:val="00853CA3"/>
    <w:rsid w:val="0085579D"/>
    <w:rsid w:val="00874EB7"/>
    <w:rsid w:val="0087702D"/>
    <w:rsid w:val="008959DD"/>
    <w:rsid w:val="008A29EA"/>
    <w:rsid w:val="008A73E0"/>
    <w:rsid w:val="008B13B7"/>
    <w:rsid w:val="008D1FC1"/>
    <w:rsid w:val="008F7180"/>
    <w:rsid w:val="00902943"/>
    <w:rsid w:val="0093688C"/>
    <w:rsid w:val="00941BFB"/>
    <w:rsid w:val="0094239E"/>
    <w:rsid w:val="00945FC6"/>
    <w:rsid w:val="00950E06"/>
    <w:rsid w:val="009757EC"/>
    <w:rsid w:val="00976837"/>
    <w:rsid w:val="00976D0D"/>
    <w:rsid w:val="00977C1E"/>
    <w:rsid w:val="009A42DA"/>
    <w:rsid w:val="009A5057"/>
    <w:rsid w:val="009A75B8"/>
    <w:rsid w:val="00A03AD5"/>
    <w:rsid w:val="00A258C3"/>
    <w:rsid w:val="00A45C13"/>
    <w:rsid w:val="00A46148"/>
    <w:rsid w:val="00A46510"/>
    <w:rsid w:val="00A72BF1"/>
    <w:rsid w:val="00A91168"/>
    <w:rsid w:val="00AA5786"/>
    <w:rsid w:val="00AC00D9"/>
    <w:rsid w:val="00AC3466"/>
    <w:rsid w:val="00AC5A66"/>
    <w:rsid w:val="00AC6856"/>
    <w:rsid w:val="00AD06BD"/>
    <w:rsid w:val="00AD5B4B"/>
    <w:rsid w:val="00AD65E4"/>
    <w:rsid w:val="00AD67F9"/>
    <w:rsid w:val="00AE7F97"/>
    <w:rsid w:val="00AE7FFE"/>
    <w:rsid w:val="00B128F2"/>
    <w:rsid w:val="00B228FA"/>
    <w:rsid w:val="00B4095F"/>
    <w:rsid w:val="00B45C9F"/>
    <w:rsid w:val="00B52E2D"/>
    <w:rsid w:val="00B6677E"/>
    <w:rsid w:val="00B713EC"/>
    <w:rsid w:val="00B7304A"/>
    <w:rsid w:val="00B7569C"/>
    <w:rsid w:val="00B9078A"/>
    <w:rsid w:val="00BC0461"/>
    <w:rsid w:val="00C113ED"/>
    <w:rsid w:val="00C15F20"/>
    <w:rsid w:val="00C166DB"/>
    <w:rsid w:val="00C34112"/>
    <w:rsid w:val="00C55D03"/>
    <w:rsid w:val="00CA0F25"/>
    <w:rsid w:val="00CA48DC"/>
    <w:rsid w:val="00CB2A9B"/>
    <w:rsid w:val="00CB3B1D"/>
    <w:rsid w:val="00CB62DE"/>
    <w:rsid w:val="00CC56A9"/>
    <w:rsid w:val="00CC6B4D"/>
    <w:rsid w:val="00CD3690"/>
    <w:rsid w:val="00CD7F36"/>
    <w:rsid w:val="00D0798F"/>
    <w:rsid w:val="00D07A37"/>
    <w:rsid w:val="00D30988"/>
    <w:rsid w:val="00D42B32"/>
    <w:rsid w:val="00D5177D"/>
    <w:rsid w:val="00D52FC8"/>
    <w:rsid w:val="00D53772"/>
    <w:rsid w:val="00D62355"/>
    <w:rsid w:val="00D641C0"/>
    <w:rsid w:val="00D80EE8"/>
    <w:rsid w:val="00D9324D"/>
    <w:rsid w:val="00DA72F7"/>
    <w:rsid w:val="00DB5379"/>
    <w:rsid w:val="00DB592C"/>
    <w:rsid w:val="00DC1C74"/>
    <w:rsid w:val="00DC38B5"/>
    <w:rsid w:val="00DC6D90"/>
    <w:rsid w:val="00DD0D7F"/>
    <w:rsid w:val="00DD1853"/>
    <w:rsid w:val="00DF4626"/>
    <w:rsid w:val="00E05A92"/>
    <w:rsid w:val="00E05C1D"/>
    <w:rsid w:val="00E07519"/>
    <w:rsid w:val="00E43744"/>
    <w:rsid w:val="00E440BA"/>
    <w:rsid w:val="00E9191C"/>
    <w:rsid w:val="00E92863"/>
    <w:rsid w:val="00EA5444"/>
    <w:rsid w:val="00EC528A"/>
    <w:rsid w:val="00ED3931"/>
    <w:rsid w:val="00ED737B"/>
    <w:rsid w:val="00EE7F3C"/>
    <w:rsid w:val="00EF5787"/>
    <w:rsid w:val="00F25D53"/>
    <w:rsid w:val="00F337DC"/>
    <w:rsid w:val="00F3661C"/>
    <w:rsid w:val="00F447B6"/>
    <w:rsid w:val="00F50DC4"/>
    <w:rsid w:val="00FB265C"/>
    <w:rsid w:val="00FC2234"/>
    <w:rsid w:val="00FD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E211D"/>
  <w15:docId w15:val="{FB83496B-BEE9-4B99-A4C9-0BA73DA5D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BD"/>
    <w:pPr>
      <w:spacing w:after="0" w:line="240" w:lineRule="auto"/>
    </w:pPr>
    <w:rPr>
      <w:sz w:val="24"/>
      <w:szCs w:val="24"/>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99"/>
    <w:qFormat/>
    <w:rsid w:val="00CB3B1D"/>
    <w:rPr>
      <w:rFonts w:ascii="Times New Roman" w:hAnsi="Times New Roman" w:cs="Times New Roman"/>
      <w:i/>
      <w:iCs/>
    </w:rPr>
  </w:style>
  <w:style w:type="character" w:styleId="Strong">
    <w:name w:val="Strong"/>
    <w:basedOn w:val="DefaultParagraphFont"/>
    <w:uiPriority w:val="99"/>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uiPriority w:val="99"/>
    <w:rsid w:val="00CB3B1D"/>
    <w:rPr>
      <w:rFonts w:ascii="Times New Roman" w:hAnsi="Times New Roman" w:cs="Times New Roman"/>
      <w:sz w:val="16"/>
      <w:szCs w:val="16"/>
    </w:rPr>
  </w:style>
  <w:style w:type="paragraph" w:styleId="CommentText">
    <w:name w:val="annotation text"/>
    <w:basedOn w:val="Normal"/>
    <w:link w:val="CommentTextChar"/>
    <w:uiPriority w:val="99"/>
    <w:rsid w:val="00CB3B1D"/>
    <w:rPr>
      <w:sz w:val="20"/>
      <w:szCs w:val="20"/>
    </w:rPr>
  </w:style>
  <w:style w:type="character" w:customStyle="1" w:styleId="CommentTextChar">
    <w:name w:val="Comment Text Char"/>
    <w:basedOn w:val="DefaultParagraphFont"/>
    <w:link w:val="CommentText"/>
    <w:uiPriority w:val="99"/>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9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semiHidden/>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C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1497">
      <w:bodyDiv w:val="1"/>
      <w:marLeft w:val="0"/>
      <w:marRight w:val="0"/>
      <w:marTop w:val="0"/>
      <w:marBottom w:val="0"/>
      <w:divBdr>
        <w:top w:val="none" w:sz="0" w:space="0" w:color="auto"/>
        <w:left w:val="none" w:sz="0" w:space="0" w:color="auto"/>
        <w:bottom w:val="none" w:sz="0" w:space="0" w:color="auto"/>
        <w:right w:val="none" w:sz="0" w:space="0" w:color="auto"/>
      </w:divBdr>
      <w:divsChild>
        <w:div w:id="1080060268">
          <w:marLeft w:val="0"/>
          <w:marRight w:val="0"/>
          <w:marTop w:val="240"/>
          <w:marBottom w:val="240"/>
          <w:divBdr>
            <w:top w:val="single" w:sz="6" w:space="0" w:color="E2E0E0"/>
            <w:left w:val="none" w:sz="0" w:space="0" w:color="auto"/>
            <w:bottom w:val="none" w:sz="0" w:space="0" w:color="auto"/>
            <w:right w:val="none" w:sz="0" w:space="0" w:color="auto"/>
          </w:divBdr>
          <w:divsChild>
            <w:div w:id="1354695915">
              <w:marLeft w:val="30"/>
              <w:marRight w:val="0"/>
              <w:marTop w:val="120"/>
              <w:marBottom w:val="120"/>
              <w:divBdr>
                <w:top w:val="none" w:sz="0" w:space="0" w:color="auto"/>
                <w:left w:val="none" w:sz="0" w:space="0" w:color="auto"/>
                <w:bottom w:val="none" w:sz="0" w:space="0" w:color="auto"/>
                <w:right w:val="none" w:sz="0" w:space="0" w:color="auto"/>
              </w:divBdr>
              <w:divsChild>
                <w:div w:id="18401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9414">
      <w:bodyDiv w:val="1"/>
      <w:marLeft w:val="0"/>
      <w:marRight w:val="0"/>
      <w:marTop w:val="0"/>
      <w:marBottom w:val="0"/>
      <w:divBdr>
        <w:top w:val="none" w:sz="0" w:space="0" w:color="auto"/>
        <w:left w:val="none" w:sz="0" w:space="0" w:color="auto"/>
        <w:bottom w:val="none" w:sz="0" w:space="0" w:color="auto"/>
        <w:right w:val="none" w:sz="0" w:space="0" w:color="auto"/>
      </w:divBdr>
      <w:divsChild>
        <w:div w:id="1480460456">
          <w:marLeft w:val="0"/>
          <w:marRight w:val="0"/>
          <w:marTop w:val="240"/>
          <w:marBottom w:val="240"/>
          <w:divBdr>
            <w:top w:val="single" w:sz="6" w:space="0" w:color="E2E0E0"/>
            <w:left w:val="none" w:sz="0" w:space="0" w:color="auto"/>
            <w:bottom w:val="none" w:sz="0" w:space="0" w:color="auto"/>
            <w:right w:val="none" w:sz="0" w:space="0" w:color="auto"/>
          </w:divBdr>
          <w:divsChild>
            <w:div w:id="141584157">
              <w:marLeft w:val="30"/>
              <w:marRight w:val="0"/>
              <w:marTop w:val="120"/>
              <w:marBottom w:val="120"/>
              <w:divBdr>
                <w:top w:val="none" w:sz="0" w:space="0" w:color="auto"/>
                <w:left w:val="none" w:sz="0" w:space="0" w:color="auto"/>
                <w:bottom w:val="none" w:sz="0" w:space="0" w:color="auto"/>
                <w:right w:val="none" w:sz="0" w:space="0" w:color="auto"/>
              </w:divBdr>
              <w:divsChild>
                <w:div w:id="8500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7565">
      <w:bodyDiv w:val="1"/>
      <w:marLeft w:val="0"/>
      <w:marRight w:val="0"/>
      <w:marTop w:val="0"/>
      <w:marBottom w:val="0"/>
      <w:divBdr>
        <w:top w:val="none" w:sz="0" w:space="0" w:color="auto"/>
        <w:left w:val="none" w:sz="0" w:space="0" w:color="auto"/>
        <w:bottom w:val="none" w:sz="0" w:space="0" w:color="auto"/>
        <w:right w:val="none" w:sz="0" w:space="0" w:color="auto"/>
      </w:divBdr>
      <w:divsChild>
        <w:div w:id="709232656">
          <w:marLeft w:val="0"/>
          <w:marRight w:val="0"/>
          <w:marTop w:val="0"/>
          <w:marBottom w:val="0"/>
          <w:divBdr>
            <w:top w:val="none" w:sz="0" w:space="0" w:color="auto"/>
            <w:left w:val="none" w:sz="0" w:space="0" w:color="auto"/>
            <w:bottom w:val="none" w:sz="0" w:space="0" w:color="auto"/>
            <w:right w:val="none" w:sz="0" w:space="0" w:color="auto"/>
          </w:divBdr>
        </w:div>
        <w:div w:id="1365785525">
          <w:marLeft w:val="0"/>
          <w:marRight w:val="0"/>
          <w:marTop w:val="0"/>
          <w:marBottom w:val="0"/>
          <w:divBdr>
            <w:top w:val="none" w:sz="0" w:space="0" w:color="auto"/>
            <w:left w:val="none" w:sz="0" w:space="0" w:color="auto"/>
            <w:bottom w:val="none" w:sz="0" w:space="0" w:color="auto"/>
            <w:right w:val="none" w:sz="0" w:space="0" w:color="auto"/>
          </w:divBdr>
        </w:div>
      </w:divsChild>
    </w:div>
    <w:div w:id="1144470313">
      <w:bodyDiv w:val="1"/>
      <w:marLeft w:val="0"/>
      <w:marRight w:val="0"/>
      <w:marTop w:val="0"/>
      <w:marBottom w:val="0"/>
      <w:divBdr>
        <w:top w:val="none" w:sz="0" w:space="0" w:color="auto"/>
        <w:left w:val="none" w:sz="0" w:space="0" w:color="auto"/>
        <w:bottom w:val="none" w:sz="0" w:space="0" w:color="auto"/>
        <w:right w:val="none" w:sz="0" w:space="0" w:color="auto"/>
      </w:divBdr>
      <w:divsChild>
        <w:div w:id="1202476650">
          <w:marLeft w:val="0"/>
          <w:marRight w:val="0"/>
          <w:marTop w:val="240"/>
          <w:marBottom w:val="240"/>
          <w:divBdr>
            <w:top w:val="single" w:sz="6" w:space="0" w:color="E2E0E0"/>
            <w:left w:val="none" w:sz="0" w:space="0" w:color="auto"/>
            <w:bottom w:val="none" w:sz="0" w:space="0" w:color="auto"/>
            <w:right w:val="none" w:sz="0" w:space="0" w:color="auto"/>
          </w:divBdr>
          <w:divsChild>
            <w:div w:id="1466895463">
              <w:marLeft w:val="30"/>
              <w:marRight w:val="0"/>
              <w:marTop w:val="120"/>
              <w:marBottom w:val="120"/>
              <w:divBdr>
                <w:top w:val="none" w:sz="0" w:space="0" w:color="auto"/>
                <w:left w:val="none" w:sz="0" w:space="0" w:color="auto"/>
                <w:bottom w:val="none" w:sz="0" w:space="0" w:color="auto"/>
                <w:right w:val="none" w:sz="0" w:space="0" w:color="auto"/>
              </w:divBdr>
              <w:divsChild>
                <w:div w:id="5777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6606">
      <w:bodyDiv w:val="1"/>
      <w:marLeft w:val="0"/>
      <w:marRight w:val="0"/>
      <w:marTop w:val="0"/>
      <w:marBottom w:val="0"/>
      <w:divBdr>
        <w:top w:val="none" w:sz="0" w:space="0" w:color="auto"/>
        <w:left w:val="none" w:sz="0" w:space="0" w:color="auto"/>
        <w:bottom w:val="none" w:sz="0" w:space="0" w:color="auto"/>
        <w:right w:val="none" w:sz="0" w:space="0" w:color="auto"/>
      </w:divBdr>
      <w:divsChild>
        <w:div w:id="187452223">
          <w:marLeft w:val="0"/>
          <w:marRight w:val="0"/>
          <w:marTop w:val="0"/>
          <w:marBottom w:val="0"/>
          <w:divBdr>
            <w:top w:val="none" w:sz="0" w:space="0" w:color="auto"/>
            <w:left w:val="none" w:sz="0" w:space="0" w:color="auto"/>
            <w:bottom w:val="none" w:sz="0" w:space="0" w:color="auto"/>
            <w:right w:val="none" w:sz="0" w:space="0" w:color="auto"/>
          </w:divBdr>
        </w:div>
        <w:div w:id="1188829157">
          <w:marLeft w:val="0"/>
          <w:marRight w:val="0"/>
          <w:marTop w:val="0"/>
          <w:marBottom w:val="0"/>
          <w:divBdr>
            <w:top w:val="none" w:sz="0" w:space="0" w:color="auto"/>
            <w:left w:val="none" w:sz="0" w:space="0" w:color="auto"/>
            <w:bottom w:val="none" w:sz="0" w:space="0" w:color="auto"/>
            <w:right w:val="none" w:sz="0" w:space="0" w:color="auto"/>
          </w:divBdr>
        </w:div>
      </w:divsChild>
    </w:div>
    <w:div w:id="1586300537">
      <w:bodyDiv w:val="1"/>
      <w:marLeft w:val="0"/>
      <w:marRight w:val="0"/>
      <w:marTop w:val="0"/>
      <w:marBottom w:val="0"/>
      <w:divBdr>
        <w:top w:val="none" w:sz="0" w:space="0" w:color="auto"/>
        <w:left w:val="none" w:sz="0" w:space="0" w:color="auto"/>
        <w:bottom w:val="none" w:sz="0" w:space="0" w:color="auto"/>
        <w:right w:val="none" w:sz="0" w:space="0" w:color="auto"/>
      </w:divBdr>
      <w:divsChild>
        <w:div w:id="118184685">
          <w:marLeft w:val="0"/>
          <w:marRight w:val="0"/>
          <w:marTop w:val="240"/>
          <w:marBottom w:val="240"/>
          <w:divBdr>
            <w:top w:val="single" w:sz="6" w:space="0" w:color="E2E0E0"/>
            <w:left w:val="none" w:sz="0" w:space="0" w:color="auto"/>
            <w:bottom w:val="none" w:sz="0" w:space="0" w:color="auto"/>
            <w:right w:val="none" w:sz="0" w:space="0" w:color="auto"/>
          </w:divBdr>
          <w:divsChild>
            <w:div w:id="1609509347">
              <w:marLeft w:val="30"/>
              <w:marRight w:val="0"/>
              <w:marTop w:val="120"/>
              <w:marBottom w:val="120"/>
              <w:divBdr>
                <w:top w:val="none" w:sz="0" w:space="0" w:color="auto"/>
                <w:left w:val="none" w:sz="0" w:space="0" w:color="auto"/>
                <w:bottom w:val="none" w:sz="0" w:space="0" w:color="auto"/>
                <w:right w:val="none" w:sz="0" w:space="0" w:color="auto"/>
              </w:divBdr>
              <w:divsChild>
                <w:div w:id="9091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09762">
      <w:bodyDiv w:val="1"/>
      <w:marLeft w:val="0"/>
      <w:marRight w:val="0"/>
      <w:marTop w:val="0"/>
      <w:marBottom w:val="0"/>
      <w:divBdr>
        <w:top w:val="none" w:sz="0" w:space="0" w:color="auto"/>
        <w:left w:val="none" w:sz="0" w:space="0" w:color="auto"/>
        <w:bottom w:val="none" w:sz="0" w:space="0" w:color="auto"/>
        <w:right w:val="none" w:sz="0" w:space="0" w:color="auto"/>
      </w:divBdr>
      <w:divsChild>
        <w:div w:id="13387426">
          <w:marLeft w:val="0"/>
          <w:marRight w:val="0"/>
          <w:marTop w:val="240"/>
          <w:marBottom w:val="240"/>
          <w:divBdr>
            <w:top w:val="single" w:sz="6" w:space="0" w:color="E2E0E0"/>
            <w:left w:val="none" w:sz="0" w:space="0" w:color="auto"/>
            <w:bottom w:val="none" w:sz="0" w:space="0" w:color="auto"/>
            <w:right w:val="none" w:sz="0" w:space="0" w:color="auto"/>
          </w:divBdr>
          <w:divsChild>
            <w:div w:id="1335381688">
              <w:marLeft w:val="30"/>
              <w:marRight w:val="0"/>
              <w:marTop w:val="120"/>
              <w:marBottom w:val="120"/>
              <w:divBdr>
                <w:top w:val="none" w:sz="0" w:space="0" w:color="auto"/>
                <w:left w:val="none" w:sz="0" w:space="0" w:color="auto"/>
                <w:bottom w:val="none" w:sz="0" w:space="0" w:color="auto"/>
                <w:right w:val="none" w:sz="0" w:space="0" w:color="auto"/>
              </w:divBdr>
              <w:divsChild>
                <w:div w:id="2514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8153">
      <w:bodyDiv w:val="1"/>
      <w:marLeft w:val="0"/>
      <w:marRight w:val="0"/>
      <w:marTop w:val="0"/>
      <w:marBottom w:val="0"/>
      <w:divBdr>
        <w:top w:val="none" w:sz="0" w:space="0" w:color="auto"/>
        <w:left w:val="none" w:sz="0" w:space="0" w:color="auto"/>
        <w:bottom w:val="none" w:sz="0" w:space="0" w:color="auto"/>
        <w:right w:val="none" w:sz="0" w:space="0" w:color="auto"/>
      </w:divBdr>
      <w:divsChild>
        <w:div w:id="2018925170">
          <w:marLeft w:val="0"/>
          <w:marRight w:val="0"/>
          <w:marTop w:val="240"/>
          <w:marBottom w:val="240"/>
          <w:divBdr>
            <w:top w:val="single" w:sz="6" w:space="0" w:color="E2E0E0"/>
            <w:left w:val="none" w:sz="0" w:space="0" w:color="auto"/>
            <w:bottom w:val="none" w:sz="0" w:space="0" w:color="auto"/>
            <w:right w:val="none" w:sz="0" w:space="0" w:color="auto"/>
          </w:divBdr>
          <w:divsChild>
            <w:div w:id="1443570156">
              <w:marLeft w:val="30"/>
              <w:marRight w:val="0"/>
              <w:marTop w:val="120"/>
              <w:marBottom w:val="120"/>
              <w:divBdr>
                <w:top w:val="none" w:sz="0" w:space="0" w:color="auto"/>
                <w:left w:val="none" w:sz="0" w:space="0" w:color="auto"/>
                <w:bottom w:val="none" w:sz="0" w:space="0" w:color="auto"/>
                <w:right w:val="none" w:sz="0" w:space="0" w:color="auto"/>
              </w:divBdr>
              <w:divsChild>
                <w:div w:id="445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06341">
      <w:bodyDiv w:val="1"/>
      <w:marLeft w:val="0"/>
      <w:marRight w:val="0"/>
      <w:marTop w:val="0"/>
      <w:marBottom w:val="0"/>
      <w:divBdr>
        <w:top w:val="none" w:sz="0" w:space="0" w:color="auto"/>
        <w:left w:val="none" w:sz="0" w:space="0" w:color="auto"/>
        <w:bottom w:val="none" w:sz="0" w:space="0" w:color="auto"/>
        <w:right w:val="none" w:sz="0" w:space="0" w:color="auto"/>
      </w:divBdr>
      <w:divsChild>
        <w:div w:id="565531941">
          <w:marLeft w:val="0"/>
          <w:marRight w:val="0"/>
          <w:marTop w:val="240"/>
          <w:marBottom w:val="240"/>
          <w:divBdr>
            <w:top w:val="single" w:sz="6" w:space="0" w:color="E2E0E0"/>
            <w:left w:val="none" w:sz="0" w:space="0" w:color="auto"/>
            <w:bottom w:val="none" w:sz="0" w:space="0" w:color="auto"/>
            <w:right w:val="none" w:sz="0" w:space="0" w:color="auto"/>
          </w:divBdr>
          <w:divsChild>
            <w:div w:id="1387991035">
              <w:marLeft w:val="30"/>
              <w:marRight w:val="0"/>
              <w:marTop w:val="120"/>
              <w:marBottom w:val="120"/>
              <w:divBdr>
                <w:top w:val="none" w:sz="0" w:space="0" w:color="auto"/>
                <w:left w:val="none" w:sz="0" w:space="0" w:color="auto"/>
                <w:bottom w:val="none" w:sz="0" w:space="0" w:color="auto"/>
                <w:right w:val="none" w:sz="0" w:space="0" w:color="auto"/>
              </w:divBdr>
              <w:divsChild>
                <w:div w:id="11051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467-026-68702-y" TargetMode="External"/><Relationship Id="rId13" Type="http://schemas.openxmlformats.org/officeDocument/2006/relationships/hyperlink" Target="https://www.ncbi.nlm.nih.gov/pubmed/2565566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303581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279814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33748712/" TargetMode="External"/><Relationship Id="rId5" Type="http://schemas.openxmlformats.org/officeDocument/2006/relationships/webSettings" Target="webSettings.xml"/><Relationship Id="rId15" Type="http://schemas.openxmlformats.org/officeDocument/2006/relationships/hyperlink" Target="https://www.ncbi.nlm.nih.gov/pubmed/24150943/" TargetMode="External"/><Relationship Id="rId10" Type="http://schemas.openxmlformats.org/officeDocument/2006/relationships/hyperlink" Target="https://www.ncbi.nlm.nih.gov/pubmed/357851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37092555/" TargetMode="External"/><Relationship Id="rId14" Type="http://schemas.openxmlformats.org/officeDocument/2006/relationships/hyperlink" Target="https://www.ncbi.nlm.nih.gov/pubmed/26942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3598-B860-4811-BEB2-FE92774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905</Words>
  <Characters>5165</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UT Southwestern Medical Center</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 July 2023</dc:subject>
  <dc:creator>Ellice Lieberman</dc:creator>
  <cp:lastModifiedBy>Jinhai Yu</cp:lastModifiedBy>
  <cp:revision>10</cp:revision>
  <cp:lastPrinted>2023-07-25T12:07:00Z</cp:lastPrinted>
  <dcterms:created xsi:type="dcterms:W3CDTF">2026-04-24T14:06:00Z</dcterms:created>
  <dcterms:modified xsi:type="dcterms:W3CDTF">2026-06-16T14:37:00Z</dcterms:modified>
</cp:coreProperties>
</file>