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7AFF" w14:textId="56EAE654" w:rsidR="009A42DA" w:rsidRPr="00047DD8" w:rsidRDefault="009A42DA" w:rsidP="009A42DA">
      <w:pPr>
        <w:jc w:val="center"/>
        <w:rPr>
          <w:b/>
          <w:i/>
          <w:sz w:val="28"/>
          <w:szCs w:val="28"/>
        </w:rPr>
      </w:pPr>
      <w:r w:rsidRPr="00047DD8">
        <w:rPr>
          <w:b/>
          <w:i/>
          <w:sz w:val="28"/>
          <w:szCs w:val="28"/>
        </w:rPr>
        <w:t xml:space="preserve">Curriculum </w:t>
      </w:r>
      <w:r w:rsidR="007C6397">
        <w:rPr>
          <w:b/>
          <w:i/>
          <w:sz w:val="28"/>
          <w:szCs w:val="28"/>
        </w:rPr>
        <w:t>V</w:t>
      </w:r>
      <w:r w:rsidRPr="00047DD8">
        <w:rPr>
          <w:b/>
          <w:i/>
          <w:sz w:val="28"/>
          <w:szCs w:val="28"/>
        </w:rPr>
        <w:t>itae</w:t>
      </w:r>
    </w:p>
    <w:p w14:paraId="525F463A" w14:textId="77777777" w:rsidR="009A42DA" w:rsidRDefault="009A42DA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3664"/>
        <w:gridCol w:w="6776"/>
      </w:tblGrid>
      <w:tr w:rsidR="00CB62DE" w:rsidRPr="002E0E97" w14:paraId="7A35A02F" w14:textId="77777777">
        <w:tc>
          <w:tcPr>
            <w:tcW w:w="2268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1604C0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>Date Prepared:</w:t>
            </w:r>
          </w:p>
          <w:p w14:paraId="63C0FFE2" w14:textId="1FF6E7F9" w:rsidR="00CB62DE" w:rsidRPr="006C0072" w:rsidRDefault="00E424BB" w:rsidP="00B4095F">
            <w:pPr>
              <w:pStyle w:val="NormalWeb"/>
              <w:spacing w:before="0" w:beforeAutospacing="0" w:after="0" w:afterAutospacing="0"/>
              <w:outlineLvl w:val="0"/>
            </w:pPr>
            <w:r w:rsidRPr="006C0072">
              <w:t>02/02/2025</w:t>
            </w:r>
          </w:p>
        </w:tc>
        <w:tc>
          <w:tcPr>
            <w:tcW w:w="8172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255B89" w14:textId="77777777" w:rsidR="00CB62DE" w:rsidRPr="00EC528A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CB62DE" w:rsidRPr="002E0E97" w14:paraId="24A0F322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9375331" w14:textId="77777777" w:rsidR="00CB62DE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>Name:</w:t>
            </w:r>
          </w:p>
          <w:p w14:paraId="764F305E" w14:textId="4FA05934" w:rsidR="00B942FE" w:rsidRPr="00B942FE" w:rsidRDefault="00B942FE" w:rsidP="00B4095F">
            <w:pPr>
              <w:pStyle w:val="NormalWeb"/>
              <w:spacing w:before="0" w:beforeAutospacing="0" w:after="0" w:afterAutospacing="0"/>
              <w:outlineLvl w:val="0"/>
            </w:pPr>
            <w:r w:rsidRPr="00B942FE">
              <w:t>Yuqiu Yang</w:t>
            </w: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6FF8BBF" w14:textId="77777777" w:rsidR="00CB62DE" w:rsidRPr="00EC528A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CB62DE" w:rsidRPr="002E0E97" w14:paraId="1D2516F6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D9C2389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rPr>
                <w:b/>
                <w:bCs/>
              </w:rPr>
              <w:t>Office Address:</w:t>
            </w:r>
          </w:p>
          <w:p w14:paraId="033461DD" w14:textId="77777777" w:rsidR="00B942FE" w:rsidRDefault="00B942FE" w:rsidP="00B942FE">
            <w:pPr>
              <w:snapToGrid w:val="0"/>
              <w:spacing w:line="288" w:lineRule="auto"/>
              <w:jc w:val="both"/>
              <w:rPr>
                <w:szCs w:val="20"/>
              </w:rPr>
            </w:pPr>
            <w:r>
              <w:rPr>
                <w:szCs w:val="20"/>
              </w:rPr>
              <w:t>Peter O’Donnell Jr. School of Public Health</w:t>
            </w:r>
          </w:p>
          <w:p w14:paraId="0B9B071F" w14:textId="77777777" w:rsidR="00B942FE" w:rsidRDefault="00B942FE" w:rsidP="00B942FE">
            <w:pPr>
              <w:snapToGrid w:val="0"/>
              <w:spacing w:line="288" w:lineRule="auto"/>
              <w:jc w:val="both"/>
              <w:rPr>
                <w:szCs w:val="20"/>
              </w:rPr>
            </w:pPr>
            <w:r>
              <w:rPr>
                <w:szCs w:val="20"/>
              </w:rPr>
              <w:t>University of Texas Southwestern Medical Center</w:t>
            </w:r>
          </w:p>
          <w:p w14:paraId="556CEDB4" w14:textId="77777777" w:rsidR="00B942FE" w:rsidRDefault="00B942FE" w:rsidP="00B942FE">
            <w:pPr>
              <w:snapToGrid w:val="0"/>
              <w:spacing w:line="288" w:lineRule="auto"/>
              <w:jc w:val="both"/>
              <w:rPr>
                <w:szCs w:val="20"/>
              </w:rPr>
            </w:pPr>
            <w:r>
              <w:rPr>
                <w:szCs w:val="20"/>
              </w:rPr>
              <w:t>5323 Harry Hines Blvd., Dallas, TX</w:t>
            </w:r>
          </w:p>
          <w:p w14:paraId="7A0C23D8" w14:textId="4EE80120" w:rsidR="00CB62DE" w:rsidRPr="002E0E97" w:rsidRDefault="00B942FE" w:rsidP="00B942FE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>
              <w:rPr>
                <w:szCs w:val="20"/>
              </w:rPr>
              <w:t xml:space="preserve">Dallas, </w:t>
            </w:r>
            <w:r w:rsidRPr="00591459">
              <w:rPr>
                <w:szCs w:val="20"/>
              </w:rPr>
              <w:t xml:space="preserve">TX </w:t>
            </w:r>
            <w:r>
              <w:rPr>
                <w:szCs w:val="20"/>
              </w:rPr>
              <w:t>75390</w:t>
            </w: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EC816F2" w14:textId="77777777" w:rsidR="00CB62DE" w:rsidRPr="00EC528A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CB62DE" w:rsidRPr="006E3CF6" w14:paraId="7E948164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E293E84" w14:textId="77777777" w:rsidR="00B942FE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6E3CF6">
              <w:rPr>
                <w:b/>
                <w:bCs/>
              </w:rPr>
              <w:t xml:space="preserve">Work Phone: </w:t>
            </w:r>
          </w:p>
          <w:p w14:paraId="32EE9510" w14:textId="7F52FFB8" w:rsidR="00CB62DE" w:rsidRPr="00B942FE" w:rsidRDefault="00B65BA4" w:rsidP="00B4095F">
            <w:pPr>
              <w:pStyle w:val="NormalWeb"/>
              <w:spacing w:before="0" w:beforeAutospacing="0" w:after="0" w:afterAutospacing="0"/>
              <w:outlineLvl w:val="0"/>
            </w:pPr>
            <w:r w:rsidRPr="00B942FE">
              <w:t>(281)536-2999</w:t>
            </w: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5D95B69" w14:textId="77777777" w:rsidR="004C1F50" w:rsidRPr="006E3CF6" w:rsidRDefault="004C1F50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</w:rPr>
            </w:pPr>
          </w:p>
        </w:tc>
      </w:tr>
      <w:tr w:rsidR="00CB62DE" w:rsidRPr="002E0E97" w14:paraId="1D176415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D1F95F1" w14:textId="77777777" w:rsidR="00B942FE" w:rsidRPr="00B942FE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B942FE">
              <w:t xml:space="preserve">Work E-Mail: </w:t>
            </w:r>
          </w:p>
          <w:p w14:paraId="2234C6A7" w14:textId="7F500D6A" w:rsidR="00CB62DE" w:rsidRPr="00B942FE" w:rsidRDefault="00B65BA4" w:rsidP="00B4095F">
            <w:pPr>
              <w:pStyle w:val="NormalWeb"/>
              <w:spacing w:before="0" w:beforeAutospacing="0" w:after="0" w:afterAutospacing="0"/>
              <w:outlineLvl w:val="0"/>
            </w:pPr>
            <w:r w:rsidRPr="00B942FE">
              <w:t>Yuqiu.Yang@UTSouthwestern.edu</w:t>
            </w: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DB5A8BE" w14:textId="77777777" w:rsidR="00CB62DE" w:rsidRPr="00EC528A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  <w:tr w:rsidR="008F7180" w:rsidRPr="002E0E97" w14:paraId="7C7032DA" w14:textId="77777777">
        <w:tc>
          <w:tcPr>
            <w:tcW w:w="226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567320D" w14:textId="77777777" w:rsidR="008F7180" w:rsidRPr="002E0E97" w:rsidRDefault="008F7180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</w:p>
        </w:tc>
        <w:tc>
          <w:tcPr>
            <w:tcW w:w="817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2F7EDF3" w14:textId="77777777" w:rsidR="008F7180" w:rsidRPr="00EC528A" w:rsidRDefault="008F7180" w:rsidP="00B4095F">
            <w:pPr>
              <w:pStyle w:val="NormalWeb"/>
              <w:spacing w:before="0" w:beforeAutospacing="0" w:after="0" w:afterAutospacing="0"/>
              <w:outlineLvl w:val="0"/>
            </w:pPr>
          </w:p>
        </w:tc>
      </w:tr>
    </w:tbl>
    <w:p w14:paraId="775BE282" w14:textId="77777777" w:rsidR="00AD06BD" w:rsidRDefault="00AD06BD" w:rsidP="00B4095F"/>
    <w:p w14:paraId="1B0D9C2D" w14:textId="77777777" w:rsidR="00B52E2D" w:rsidRPr="00B4095F" w:rsidRDefault="00B52E2D" w:rsidP="00B4095F">
      <w:pPr>
        <w:rPr>
          <w:b/>
          <w:u w:val="single"/>
        </w:rPr>
      </w:pPr>
      <w:r w:rsidRPr="00B4095F">
        <w:rPr>
          <w:b/>
          <w:u w:val="single"/>
        </w:rPr>
        <w:t>Education</w:t>
      </w:r>
    </w:p>
    <w:p w14:paraId="742D2311" w14:textId="77777777" w:rsidR="00B4095F" w:rsidRPr="00B52E2D" w:rsidRDefault="00B4095F" w:rsidP="00B4095F">
      <w:pPr>
        <w:rPr>
          <w:b/>
        </w:rPr>
      </w:pPr>
    </w:p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1687"/>
        <w:gridCol w:w="3360"/>
        <w:gridCol w:w="3725"/>
      </w:tblGrid>
      <w:tr w:rsidR="00CB62DE" w:rsidRPr="002E0E97" w14:paraId="7D253394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2A73047" w14:textId="77777777" w:rsidR="00CB62DE" w:rsidRPr="002E0E97" w:rsidRDefault="00CB62DE" w:rsidP="00B4095F">
            <w:pPr>
              <w:pStyle w:val="CommentText"/>
              <w:tabs>
                <w:tab w:val="left" w:pos="3214"/>
              </w:tabs>
              <w:outlineLvl w:val="0"/>
              <w:rPr>
                <w:b/>
                <w:bCs/>
                <w:sz w:val="24"/>
                <w:szCs w:val="24"/>
              </w:rPr>
            </w:pPr>
            <w:r w:rsidRPr="002E0E97">
              <w:rPr>
                <w:sz w:val="24"/>
                <w:szCs w:val="24"/>
              </w:rPr>
              <w:t>Year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F3B2E3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Degree</w:t>
            </w:r>
          </w:p>
          <w:p w14:paraId="3A2296EB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t>(Honors)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0487CA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Field of Study</w:t>
            </w:r>
          </w:p>
          <w:p w14:paraId="34DA4918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t>(Thesis advisor for PhDs)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532E919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  <w:rPr>
                <w:b/>
                <w:bCs/>
              </w:rPr>
            </w:pPr>
            <w:r w:rsidRPr="002E0E97">
              <w:t>Institution</w:t>
            </w:r>
          </w:p>
        </w:tc>
      </w:tr>
      <w:tr w:rsidR="00CB62DE" w:rsidRPr="002E0E97" w14:paraId="0D9D4725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38AA42" w14:textId="3F4BA72C" w:rsidR="00CB62DE" w:rsidRPr="002E0E97" w:rsidRDefault="00E424B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E85242" w14:textId="54792BE3" w:rsidR="004C1F50" w:rsidRPr="006F28B6" w:rsidRDefault="006C007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Doctor of Philosophy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A8953B" w14:textId="586F335B" w:rsidR="004C1F50" w:rsidRPr="002E0E97" w:rsidRDefault="00D57AB8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Biostatistics (</w:t>
            </w:r>
            <w:proofErr w:type="spellStart"/>
            <w:r>
              <w:t>Xinlei</w:t>
            </w:r>
            <w:proofErr w:type="spellEnd"/>
            <w:r>
              <w:t xml:space="preserve"> Wang, Tao Wang)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71B79A" w14:textId="24BB794A" w:rsidR="00CB62DE" w:rsidRPr="002E0E97" w:rsidRDefault="00D57AB8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Southern Methodist University</w:t>
            </w:r>
          </w:p>
        </w:tc>
      </w:tr>
      <w:tr w:rsidR="00CB62DE" w:rsidRPr="002E0E97" w14:paraId="574F19F7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BF12C2" w14:textId="03426CC0" w:rsidR="00CB62DE" w:rsidRPr="002E0E97" w:rsidRDefault="006C0072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3F7EC8" w14:textId="0FF80B14" w:rsidR="00CB62DE" w:rsidRPr="006F28B6" w:rsidRDefault="006C007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Master in Statistics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4EFA47D" w14:textId="18977935" w:rsidR="00CB62DE" w:rsidRPr="002E0E97" w:rsidRDefault="006C007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Statistics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85FD31" w14:textId="790E59A9" w:rsidR="00CB62DE" w:rsidRPr="002E0E97" w:rsidRDefault="006C007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Rice University</w:t>
            </w:r>
          </w:p>
        </w:tc>
      </w:tr>
      <w:tr w:rsidR="006C0072" w:rsidRPr="002E0E97" w14:paraId="4C76FDF6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BA6464" w14:textId="04834305" w:rsidR="006C0072" w:rsidRDefault="006C0072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168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AA32DC" w14:textId="4CB497D2" w:rsidR="006C0072" w:rsidRDefault="006C007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Bachelor of Economics</w:t>
            </w:r>
          </w:p>
        </w:tc>
        <w:tc>
          <w:tcPr>
            <w:tcW w:w="336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6DF64A" w14:textId="15EB4C1F" w:rsidR="006C0072" w:rsidRDefault="006C007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Financial Engineering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8E62F5" w14:textId="55AAE101" w:rsidR="006C0072" w:rsidRDefault="006C0072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Shanghai University of Finance and Economics</w:t>
            </w:r>
          </w:p>
        </w:tc>
      </w:tr>
    </w:tbl>
    <w:p w14:paraId="284D8315" w14:textId="77777777" w:rsidR="0094239E" w:rsidRDefault="0094239E" w:rsidP="00B4095F"/>
    <w:p w14:paraId="7E200927" w14:textId="77777777" w:rsidR="005025DE" w:rsidRPr="00B4095F" w:rsidRDefault="00B52E2D" w:rsidP="00B4095F">
      <w:pPr>
        <w:rPr>
          <w:u w:val="single"/>
        </w:rPr>
      </w:pPr>
      <w:r w:rsidRPr="00B4095F">
        <w:rPr>
          <w:b/>
          <w:bCs/>
          <w:u w:val="single"/>
        </w:rPr>
        <w:t>Faculty Academic Appointments</w:t>
      </w:r>
    </w:p>
    <w:p w14:paraId="2E0C0924" w14:textId="77777777" w:rsidR="005025DE" w:rsidRDefault="005025DE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2280"/>
        <w:gridCol w:w="2767"/>
        <w:gridCol w:w="3725"/>
      </w:tblGrid>
      <w:tr w:rsidR="00CB62DE" w:rsidRPr="002E0E97" w14:paraId="247D3096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C77A2E" w14:textId="77777777" w:rsidR="00CB62DE" w:rsidRPr="002E0E97" w:rsidRDefault="006F28B6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2E0E97">
              <w:rPr>
                <w:sz w:val="24"/>
                <w:szCs w:val="24"/>
              </w:rPr>
              <w:t>Year(s)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5A6F0DA" w14:textId="77777777" w:rsidR="00CB62DE" w:rsidRPr="002E0E97" w:rsidRDefault="006F28B6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Academic Title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072D999" w14:textId="77777777" w:rsidR="00CB62DE" w:rsidRPr="002E0E97" w:rsidRDefault="006F28B6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Department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12ACD4" w14:textId="77777777" w:rsidR="00CB62DE" w:rsidRPr="002E0E97" w:rsidRDefault="006F28B6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Academic Institution</w:t>
            </w:r>
          </w:p>
        </w:tc>
      </w:tr>
      <w:tr w:rsidR="00CB62DE" w:rsidRPr="002E0E97" w14:paraId="52DEDAA9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BDAFB9" w14:textId="5B9449A8" w:rsidR="00CB62DE" w:rsidRPr="002E0E97" w:rsidRDefault="004726A9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0B461E" w14:textId="06DEFA54" w:rsidR="00CB62DE" w:rsidRPr="002E0E97" w:rsidRDefault="004726A9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Assistant Instructor</w:t>
            </w:r>
          </w:p>
        </w:tc>
        <w:tc>
          <w:tcPr>
            <w:tcW w:w="27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C8DB4C1" w14:textId="74EDFBE7" w:rsidR="00CB62DE" w:rsidRPr="004726A9" w:rsidRDefault="004726A9" w:rsidP="004726A9">
            <w:pPr>
              <w:snapToGrid w:val="0"/>
              <w:spacing w:line="288" w:lineRule="auto"/>
              <w:jc w:val="both"/>
              <w:rPr>
                <w:szCs w:val="20"/>
              </w:rPr>
            </w:pPr>
            <w:r>
              <w:rPr>
                <w:szCs w:val="20"/>
              </w:rPr>
              <w:t>Peter O’Donnell Jr. School of Public Health</w:t>
            </w:r>
          </w:p>
        </w:tc>
        <w:tc>
          <w:tcPr>
            <w:tcW w:w="372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5C3160" w14:textId="5CB7C9D8" w:rsidR="00CB62DE" w:rsidRPr="00F61B4F" w:rsidRDefault="00F61B4F" w:rsidP="00B4095F">
            <w:pPr>
              <w:pStyle w:val="NormalWeb"/>
              <w:spacing w:before="0" w:beforeAutospacing="0" w:after="0" w:afterAutospacing="0"/>
              <w:outlineLvl w:val="0"/>
            </w:pPr>
            <w:r w:rsidRPr="00F61B4F">
              <w:t>UT Southwestern Medical Center</w:t>
            </w:r>
          </w:p>
        </w:tc>
      </w:tr>
    </w:tbl>
    <w:p w14:paraId="7AF97920" w14:textId="77777777" w:rsidR="00D52FC8" w:rsidRDefault="00D52FC8" w:rsidP="00B4095F"/>
    <w:p w14:paraId="4FA8B1B1" w14:textId="1C3D32A5" w:rsidR="00B4095F" w:rsidRDefault="00B4095F" w:rsidP="00B4095F">
      <w:r w:rsidRPr="00B4095F">
        <w:rPr>
          <w:b/>
          <w:bCs/>
          <w:u w:val="single"/>
        </w:rPr>
        <w:t>Other Professional Positions</w:t>
      </w:r>
      <w:r w:rsidRPr="002E0E97">
        <w:t xml:space="preserve"> </w:t>
      </w:r>
    </w:p>
    <w:p w14:paraId="15B5B0E4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5167"/>
        <w:gridCol w:w="3605"/>
      </w:tblGrid>
      <w:tr w:rsidR="00CB62DE" w:rsidRPr="002E0E97" w14:paraId="543D157C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4FC948" w14:textId="77777777" w:rsidR="00CB62DE" w:rsidRPr="002E0E97" w:rsidRDefault="00CB62DE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2E0E97">
              <w:rPr>
                <w:sz w:val="24"/>
                <w:szCs w:val="24"/>
              </w:rPr>
              <w:t>Year(s)</w:t>
            </w: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DE9C0AC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Position Title</w:t>
            </w: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916784" w14:textId="77777777" w:rsidR="00CB62DE" w:rsidRPr="002E0E97" w:rsidRDefault="00CB62DE" w:rsidP="00B4095F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Institution</w:t>
            </w:r>
          </w:p>
        </w:tc>
      </w:tr>
      <w:tr w:rsidR="00CB62DE" w:rsidRPr="002E0E97" w14:paraId="7E13043A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6E0A6B" w14:textId="721861E7" w:rsidR="00CB62DE" w:rsidRPr="002E0E97" w:rsidRDefault="003448A4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</w:t>
            </w: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927295" w14:textId="63D26C5A" w:rsidR="00CB62DE" w:rsidRPr="002E0E97" w:rsidRDefault="003448A4" w:rsidP="00B4095F">
            <w:pPr>
              <w:pStyle w:val="BlockText"/>
              <w:ind w:left="12" w:right="-2"/>
            </w:pPr>
            <w:r>
              <w:t>Research Assistant</w:t>
            </w: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426B16" w14:textId="1A93A113" w:rsidR="00DC38B5" w:rsidRPr="002E0E97" w:rsidRDefault="003448A4" w:rsidP="00B4095F">
            <w:pPr>
              <w:pStyle w:val="NormalWeb"/>
              <w:spacing w:before="0" w:beforeAutospacing="0" w:after="0" w:afterAutospacing="0"/>
              <w:outlineLvl w:val="0"/>
            </w:pPr>
            <w:r w:rsidRPr="00F61B4F">
              <w:t>UT Southwestern Medical Center</w:t>
            </w:r>
          </w:p>
        </w:tc>
      </w:tr>
      <w:tr w:rsidR="00DC38B5" w:rsidRPr="002E0E97" w14:paraId="59730C6C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963216" w14:textId="12BBB7A1" w:rsidR="00DC38B5" w:rsidRPr="002E0E97" w:rsidRDefault="00591B73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</w:t>
            </w: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F0C4A23" w14:textId="1B2A9C48" w:rsidR="00DC38B5" w:rsidRPr="002E0E97" w:rsidRDefault="00591B73" w:rsidP="00B4095F">
            <w:pPr>
              <w:pStyle w:val="BlockText"/>
              <w:ind w:left="12" w:right="-2"/>
            </w:pPr>
            <w:r>
              <w:t>Research Analyst</w:t>
            </w: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84F9E2" w14:textId="0501F929" w:rsidR="00DC38B5" w:rsidRPr="002E0E97" w:rsidRDefault="00591B73" w:rsidP="00B4095F">
            <w:pPr>
              <w:pStyle w:val="NormalWeb"/>
              <w:spacing w:before="0" w:beforeAutospacing="0" w:after="0" w:afterAutospacing="0"/>
              <w:outlineLvl w:val="0"/>
            </w:pPr>
            <w:r>
              <w:t>IPT Global</w:t>
            </w:r>
          </w:p>
        </w:tc>
      </w:tr>
      <w:tr w:rsidR="004901A7" w:rsidRPr="002E0E97" w14:paraId="7786602B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D520C4" w14:textId="4EE4153D" w:rsidR="004901A7" w:rsidRPr="002E0E97" w:rsidRDefault="00591B73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56A066" w14:textId="4F7F14EC" w:rsidR="004901A7" w:rsidRPr="002E0E97" w:rsidRDefault="00591B73" w:rsidP="00B4095F">
            <w:pPr>
              <w:pStyle w:val="BlockText"/>
              <w:ind w:left="12" w:right="-2"/>
            </w:pPr>
            <w:r>
              <w:t>Project Intern</w:t>
            </w: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B542E70" w14:textId="13F31760" w:rsidR="004901A7" w:rsidRPr="000669B9" w:rsidRDefault="000669B9" w:rsidP="00B4095F">
            <w:pPr>
              <w:pStyle w:val="NormalWeb"/>
              <w:spacing w:before="0" w:beforeAutospacing="0" w:after="0" w:afterAutospacing="0"/>
              <w:outlineLvl w:val="0"/>
            </w:pPr>
            <w:r w:rsidRPr="000669B9">
              <w:t>Baylor College of Medicine</w:t>
            </w:r>
          </w:p>
        </w:tc>
      </w:tr>
      <w:tr w:rsidR="000669B9" w:rsidRPr="002E0E97" w14:paraId="37FEEC84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F5427D" w14:textId="2395CA98" w:rsidR="000669B9" w:rsidRDefault="000669B9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5167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0491B8" w14:textId="2338DDB2" w:rsidR="000669B9" w:rsidRDefault="005321A0" w:rsidP="00B4095F">
            <w:pPr>
              <w:pStyle w:val="BlockText"/>
              <w:ind w:left="12" w:right="-2"/>
            </w:pPr>
            <w:r>
              <w:t>Intern</w:t>
            </w:r>
          </w:p>
        </w:tc>
        <w:tc>
          <w:tcPr>
            <w:tcW w:w="360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5737A8" w14:textId="71779111" w:rsidR="000669B9" w:rsidRPr="004D4194" w:rsidRDefault="004D4194" w:rsidP="00B4095F">
            <w:pPr>
              <w:pStyle w:val="NormalWeb"/>
              <w:spacing w:before="0" w:beforeAutospacing="0" w:after="0" w:afterAutospacing="0"/>
              <w:outlineLvl w:val="0"/>
            </w:pPr>
            <w:proofErr w:type="spellStart"/>
            <w:r w:rsidRPr="004D4194">
              <w:t>PuDong</w:t>
            </w:r>
            <w:proofErr w:type="spellEnd"/>
            <w:r w:rsidRPr="004D4194">
              <w:t xml:space="preserve"> Center for Disease Control and Prevention</w:t>
            </w:r>
          </w:p>
        </w:tc>
      </w:tr>
    </w:tbl>
    <w:p w14:paraId="0F48E88D" w14:textId="77777777" w:rsidR="002319B2" w:rsidRDefault="002319B2" w:rsidP="00D42B32"/>
    <w:p w14:paraId="22A15D1F" w14:textId="77777777" w:rsidR="00D42B32" w:rsidRPr="00B4095F" w:rsidRDefault="00D42B32" w:rsidP="00D42B32">
      <w:pPr>
        <w:rPr>
          <w:b/>
          <w:bCs/>
          <w:u w:val="single"/>
        </w:rPr>
      </w:pPr>
      <w:r w:rsidRPr="00B4095F">
        <w:rPr>
          <w:b/>
          <w:bCs/>
          <w:u w:val="single"/>
        </w:rPr>
        <w:t>Honors and Awards</w:t>
      </w:r>
    </w:p>
    <w:p w14:paraId="237E28B5" w14:textId="77777777" w:rsidR="00D42B32" w:rsidRDefault="00D42B32" w:rsidP="00D42B32"/>
    <w:tbl>
      <w:tblPr>
        <w:tblW w:w="10445" w:type="dxa"/>
        <w:tblLook w:val="00A0" w:firstRow="1" w:lastRow="0" w:firstColumn="1" w:lastColumn="0" w:noHBand="0" w:noVBand="0"/>
      </w:tblPr>
      <w:tblGrid>
        <w:gridCol w:w="1668"/>
        <w:gridCol w:w="4359"/>
        <w:gridCol w:w="4418"/>
      </w:tblGrid>
      <w:tr w:rsidR="00D42B32" w:rsidRPr="00CD7F36" w14:paraId="106F2252" w14:textId="77777777" w:rsidTr="004502B7">
        <w:trPr>
          <w:trHeight w:val="317"/>
        </w:trPr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EC754E" w14:textId="77777777" w:rsidR="00D42B32" w:rsidRPr="00CD7F36" w:rsidRDefault="00D42B32" w:rsidP="00532048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CD7F36">
              <w:rPr>
                <w:sz w:val="24"/>
                <w:szCs w:val="24"/>
              </w:rPr>
              <w:t>Year</w:t>
            </w:r>
          </w:p>
        </w:tc>
        <w:tc>
          <w:tcPr>
            <w:tcW w:w="435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F5D0B1A" w14:textId="77777777" w:rsidR="00D42B32" w:rsidRPr="00CD7F36" w:rsidRDefault="00D42B32" w:rsidP="00532048">
            <w:pPr>
              <w:pStyle w:val="NormalWeb"/>
              <w:spacing w:before="0" w:beforeAutospacing="0" w:after="0" w:afterAutospacing="0"/>
              <w:outlineLvl w:val="0"/>
              <w:rPr>
                <w:highlight w:val="yellow"/>
              </w:rPr>
            </w:pPr>
            <w:r w:rsidRPr="002E0E97">
              <w:t>Name of Honor/</w:t>
            </w:r>
            <w:r>
              <w:t>Award</w:t>
            </w:r>
          </w:p>
        </w:tc>
        <w:tc>
          <w:tcPr>
            <w:tcW w:w="441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6F7FAF25" w14:textId="77777777" w:rsidR="00D42B32" w:rsidRPr="00B52E2D" w:rsidRDefault="00D42B32" w:rsidP="00532048">
            <w:pPr>
              <w:pStyle w:val="NormalWeb"/>
              <w:spacing w:before="0" w:beforeAutospacing="0" w:after="0" w:afterAutospacing="0"/>
              <w:outlineLvl w:val="0"/>
            </w:pPr>
            <w:r w:rsidRPr="002E0E97">
              <w:t>Awarding Organization</w:t>
            </w:r>
          </w:p>
        </w:tc>
      </w:tr>
      <w:tr w:rsidR="003448A4" w:rsidRPr="00CD7F36" w14:paraId="29A484BA" w14:textId="77777777" w:rsidTr="004502B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6474522" w14:textId="411EF2BF" w:rsidR="003448A4" w:rsidRDefault="003448A4" w:rsidP="003448A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435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733EDB0" w14:textId="5B536240" w:rsidR="003448A4" w:rsidRPr="003638BF" w:rsidRDefault="003448A4" w:rsidP="003448A4">
            <w:pPr>
              <w:pStyle w:val="NormalWeb"/>
              <w:spacing w:before="0" w:beforeAutospacing="0" w:after="0" w:afterAutospacing="0"/>
              <w:outlineLvl w:val="0"/>
            </w:pPr>
            <w:r>
              <w:t>Walsh Award</w:t>
            </w:r>
          </w:p>
        </w:tc>
        <w:tc>
          <w:tcPr>
            <w:tcW w:w="441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3E324597" w14:textId="28ED1B6D" w:rsidR="003448A4" w:rsidRDefault="003448A4" w:rsidP="003448A4">
            <w:pPr>
              <w:pStyle w:val="NormalWeb"/>
              <w:spacing w:before="0" w:beforeAutospacing="0" w:after="0" w:afterAutospacing="0"/>
              <w:outlineLvl w:val="0"/>
            </w:pPr>
            <w:r>
              <w:t>Southern Methodist University</w:t>
            </w:r>
          </w:p>
        </w:tc>
      </w:tr>
      <w:tr w:rsidR="003448A4" w:rsidRPr="00CD7F36" w14:paraId="2449EF90" w14:textId="77777777" w:rsidTr="004502B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2844B48" w14:textId="06BBA7AC" w:rsidR="003448A4" w:rsidRPr="00CD7F36" w:rsidRDefault="003448A4" w:rsidP="003448A4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4359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48B210" w14:textId="043BE5E2" w:rsidR="003448A4" w:rsidRPr="002E0E97" w:rsidRDefault="003448A4" w:rsidP="003448A4">
            <w:pPr>
              <w:pStyle w:val="NormalWeb"/>
              <w:spacing w:before="0" w:beforeAutospacing="0" w:after="0" w:afterAutospacing="0"/>
              <w:outlineLvl w:val="0"/>
            </w:pPr>
            <w:r w:rsidRPr="003638BF">
              <w:t>Paul Minton Award</w:t>
            </w:r>
          </w:p>
        </w:tc>
        <w:tc>
          <w:tcPr>
            <w:tcW w:w="441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17E416C3" w14:textId="658FC119" w:rsidR="003448A4" w:rsidRPr="002E0E97" w:rsidRDefault="003448A4" w:rsidP="003448A4">
            <w:pPr>
              <w:pStyle w:val="NormalWeb"/>
              <w:spacing w:before="0" w:beforeAutospacing="0" w:after="0" w:afterAutospacing="0"/>
              <w:outlineLvl w:val="0"/>
            </w:pPr>
            <w:r>
              <w:t>Southern Methodist University</w:t>
            </w:r>
          </w:p>
        </w:tc>
      </w:tr>
    </w:tbl>
    <w:p w14:paraId="35B2EC8E" w14:textId="77777777" w:rsidR="00D52FC8" w:rsidRDefault="00D52FC8" w:rsidP="00B4095F"/>
    <w:p w14:paraId="2C29D69C" w14:textId="0CBB1F86" w:rsidR="00B4095F" w:rsidRDefault="00B4095F" w:rsidP="00B4095F">
      <w:r w:rsidRPr="00B4095F">
        <w:rPr>
          <w:b/>
          <w:bCs/>
          <w:u w:val="single"/>
        </w:rPr>
        <w:t>Professional Societies</w:t>
      </w:r>
      <w:r w:rsidRPr="002E0E97">
        <w:t xml:space="preserve"> </w:t>
      </w:r>
    </w:p>
    <w:p w14:paraId="5C1ADC09" w14:textId="77777777" w:rsidR="00B4095F" w:rsidRDefault="00B4095F" w:rsidP="00B4095F"/>
    <w:tbl>
      <w:tblPr>
        <w:tblStyle w:val="TableGrid"/>
        <w:tblW w:w="10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668"/>
        <w:gridCol w:w="8772"/>
      </w:tblGrid>
      <w:tr w:rsidR="00EC528A" w:rsidRPr="002E0E97" w14:paraId="478C611B" w14:textId="77777777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783C69" w14:textId="77777777" w:rsidR="00EC528A" w:rsidRPr="00CC6B4D" w:rsidRDefault="0078277B" w:rsidP="00B4095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 w:rsidRPr="00CC6B4D">
              <w:rPr>
                <w:sz w:val="24"/>
                <w:szCs w:val="24"/>
              </w:rPr>
              <w:t>Dates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8B23447" w14:textId="77777777" w:rsidR="00EC528A" w:rsidRPr="00B4095F" w:rsidRDefault="0078277B" w:rsidP="00B4095F">
            <w:pPr>
              <w:pStyle w:val="NormalWeb"/>
              <w:spacing w:before="0" w:beforeAutospacing="0" w:after="0" w:afterAutospacing="0"/>
              <w:outlineLvl w:val="0"/>
              <w:rPr>
                <w:bCs/>
              </w:rPr>
            </w:pPr>
            <w:r w:rsidRPr="00B4095F">
              <w:rPr>
                <w:bCs/>
              </w:rPr>
              <w:t>Society Name</w:t>
            </w:r>
            <w:r w:rsidR="00DB5379">
              <w:rPr>
                <w:bCs/>
              </w:rPr>
              <w:t>, member</w:t>
            </w:r>
          </w:p>
        </w:tc>
      </w:tr>
      <w:tr w:rsidR="00B4095F" w:rsidRPr="002E0E97" w14:paraId="61A1827E" w14:textId="77777777" w:rsidTr="001C697F">
        <w:tc>
          <w:tcPr>
            <w:tcW w:w="1668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76366D" w14:textId="52AAF129" w:rsidR="00B4095F" w:rsidRDefault="007010DE" w:rsidP="001C697F">
            <w:pPr>
              <w:pStyle w:val="CommentText"/>
              <w:tabs>
                <w:tab w:val="left" w:pos="3214"/>
              </w:tabs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77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12E9D6" w14:textId="27071605" w:rsidR="00B4095F" w:rsidRPr="00E65A02" w:rsidRDefault="007010DE" w:rsidP="001C697F">
            <w:pPr>
              <w:ind w:left="1440" w:hanging="1440"/>
            </w:pPr>
            <w:r w:rsidRPr="00E65A02">
              <w:t>American Stati</w:t>
            </w:r>
            <w:r w:rsidR="00E65A02" w:rsidRPr="00E65A02">
              <w:t>stical Association</w:t>
            </w:r>
          </w:p>
        </w:tc>
      </w:tr>
    </w:tbl>
    <w:p w14:paraId="71956EC0" w14:textId="77777777" w:rsidR="006F2076" w:rsidRDefault="006F2076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</w:p>
    <w:p w14:paraId="497B4E60" w14:textId="10823C40" w:rsidR="00D0798F" w:rsidRDefault="00597391" w:rsidP="00B4095F">
      <w:pPr>
        <w:pStyle w:val="NormalWeb"/>
        <w:spacing w:before="0" w:beforeAutospacing="0" w:after="0" w:afterAutospacing="0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Educational</w:t>
      </w:r>
      <w:r w:rsidR="00D0798F">
        <w:rPr>
          <w:b/>
          <w:bCs/>
          <w:u w:val="single"/>
        </w:rPr>
        <w:t xml:space="preserve"> Activities</w:t>
      </w:r>
    </w:p>
    <w:p w14:paraId="271DD51E" w14:textId="77777777" w:rsidR="006B67C2" w:rsidRPr="00AA41C0" w:rsidRDefault="006B67C2" w:rsidP="006B67C2"/>
    <w:p w14:paraId="3E85B8B0" w14:textId="3BA2668A" w:rsidR="006B67C2" w:rsidRPr="00AA41C0" w:rsidRDefault="006B67C2" w:rsidP="006B67C2">
      <w:pPr>
        <w:rPr>
          <w:u w:val="single"/>
        </w:rPr>
      </w:pPr>
      <w:r w:rsidRPr="00AA41C0">
        <w:rPr>
          <w:u w:val="single"/>
        </w:rPr>
        <w:t>1.</w:t>
      </w:r>
      <w:r w:rsidR="00547027">
        <w:rPr>
          <w:u w:val="single"/>
        </w:rPr>
        <w:t xml:space="preserve"> </w:t>
      </w:r>
      <w:r w:rsidR="00597391">
        <w:rPr>
          <w:u w:val="single"/>
        </w:rPr>
        <w:t>Direct Teaching</w:t>
      </w:r>
    </w:p>
    <w:p w14:paraId="641D20CC" w14:textId="77777777" w:rsidR="006B67C2" w:rsidRPr="00AA41C0" w:rsidRDefault="006B67C2" w:rsidP="006B67C2"/>
    <w:tbl>
      <w:tblPr>
        <w:tblW w:w="5108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45"/>
        <w:gridCol w:w="2253"/>
        <w:gridCol w:w="1710"/>
        <w:gridCol w:w="1448"/>
        <w:gridCol w:w="1879"/>
        <w:gridCol w:w="1800"/>
      </w:tblGrid>
      <w:tr w:rsidR="006B67C2" w:rsidRPr="00AA41C0" w14:paraId="038C0F4F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4C802174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Date</w:t>
            </w:r>
          </w:p>
        </w:tc>
        <w:tc>
          <w:tcPr>
            <w:tcW w:w="2253" w:type="dxa"/>
            <w:vAlign w:val="center"/>
          </w:tcPr>
          <w:p w14:paraId="6A9035D5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Course Name, Rotation or Session Topic</w:t>
            </w:r>
          </w:p>
        </w:tc>
        <w:tc>
          <w:tcPr>
            <w:tcW w:w="1710" w:type="dxa"/>
            <w:vAlign w:val="center"/>
          </w:tcPr>
          <w:p w14:paraId="396E0C4A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Role</w:t>
            </w:r>
          </w:p>
        </w:tc>
        <w:tc>
          <w:tcPr>
            <w:tcW w:w="1448" w:type="dxa"/>
            <w:vAlign w:val="center"/>
          </w:tcPr>
          <w:p w14:paraId="4DDA398A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Number of Instruction hours</w:t>
            </w:r>
          </w:p>
        </w:tc>
        <w:tc>
          <w:tcPr>
            <w:tcW w:w="1879" w:type="dxa"/>
            <w:vAlign w:val="center"/>
          </w:tcPr>
          <w:p w14:paraId="47DE47FC" w14:textId="77777777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Primary Learner Audience (number)</w:t>
            </w:r>
          </w:p>
        </w:tc>
        <w:tc>
          <w:tcPr>
            <w:tcW w:w="1800" w:type="dxa"/>
            <w:vAlign w:val="center"/>
          </w:tcPr>
          <w:p w14:paraId="357C7B1E" w14:textId="66F89EF2" w:rsidR="006B67C2" w:rsidRPr="00843573" w:rsidRDefault="006B67C2" w:rsidP="00532048">
            <w:pPr>
              <w:rPr>
                <w:bCs/>
              </w:rPr>
            </w:pPr>
            <w:r w:rsidRPr="00843573">
              <w:rPr>
                <w:bCs/>
              </w:rPr>
              <w:t>Department or Organization</w:t>
            </w:r>
          </w:p>
        </w:tc>
      </w:tr>
      <w:tr w:rsidR="00D42B32" w:rsidRPr="00AA41C0" w14:paraId="1ECBAC59" w14:textId="77777777" w:rsidTr="00793547">
        <w:trPr>
          <w:trHeight w:val="360"/>
        </w:trPr>
        <w:tc>
          <w:tcPr>
            <w:tcW w:w="10435" w:type="dxa"/>
            <w:gridSpan w:val="6"/>
            <w:vAlign w:val="center"/>
          </w:tcPr>
          <w:p w14:paraId="69709331" w14:textId="687FCB5B" w:rsidR="00D42B32" w:rsidRPr="00D42B32" w:rsidRDefault="00D42B32" w:rsidP="00D42B32">
            <w:pPr>
              <w:rPr>
                <w:u w:val="single"/>
              </w:rPr>
            </w:pPr>
            <w:r w:rsidRPr="00D42B32">
              <w:rPr>
                <w:u w:val="single"/>
              </w:rPr>
              <w:t xml:space="preserve">Medical and Graduate School (UME) Course Instruction, Small Group Instruction, Clinical Supervision </w:t>
            </w:r>
          </w:p>
        </w:tc>
      </w:tr>
      <w:tr w:rsidR="006B67C2" w:rsidRPr="00AA41C0" w14:paraId="67D8F5A2" w14:textId="77777777" w:rsidTr="00793547">
        <w:trPr>
          <w:trHeight w:val="360"/>
        </w:trPr>
        <w:tc>
          <w:tcPr>
            <w:tcW w:w="1345" w:type="dxa"/>
            <w:vAlign w:val="center"/>
          </w:tcPr>
          <w:p w14:paraId="069F9B3E" w14:textId="6FE44C68" w:rsidR="006B67C2" w:rsidRPr="00AA41C0" w:rsidRDefault="004C4E55" w:rsidP="00532048">
            <w:r>
              <w:t>2024</w:t>
            </w:r>
          </w:p>
        </w:tc>
        <w:tc>
          <w:tcPr>
            <w:tcW w:w="2253" w:type="dxa"/>
            <w:vAlign w:val="center"/>
          </w:tcPr>
          <w:p w14:paraId="341342E3" w14:textId="7554B7FF" w:rsidR="006B67C2" w:rsidRPr="00AA41C0" w:rsidRDefault="004C4E55" w:rsidP="00532048">
            <w:r>
              <w:t>BME 5317</w:t>
            </w:r>
          </w:p>
        </w:tc>
        <w:tc>
          <w:tcPr>
            <w:tcW w:w="1710" w:type="dxa"/>
            <w:vAlign w:val="center"/>
          </w:tcPr>
          <w:p w14:paraId="61F9BC21" w14:textId="56395DB9" w:rsidR="006B67C2" w:rsidRPr="00AA41C0" w:rsidRDefault="0065461C" w:rsidP="00532048">
            <w:r>
              <w:t>Lecturer</w:t>
            </w:r>
          </w:p>
        </w:tc>
        <w:tc>
          <w:tcPr>
            <w:tcW w:w="1448" w:type="dxa"/>
            <w:vAlign w:val="center"/>
          </w:tcPr>
          <w:p w14:paraId="44B32AA2" w14:textId="4DADB557" w:rsidR="006B67C2" w:rsidRPr="00AA41C0" w:rsidRDefault="0065461C" w:rsidP="00532048">
            <w:r>
              <w:t>1.5</w:t>
            </w:r>
          </w:p>
        </w:tc>
        <w:tc>
          <w:tcPr>
            <w:tcW w:w="1879" w:type="dxa"/>
            <w:vAlign w:val="center"/>
          </w:tcPr>
          <w:p w14:paraId="2877713A" w14:textId="4F225D33" w:rsidR="006B67C2" w:rsidRPr="00AA41C0" w:rsidRDefault="00E740EB" w:rsidP="00532048">
            <w:r>
              <w:t>11</w:t>
            </w:r>
          </w:p>
        </w:tc>
        <w:tc>
          <w:tcPr>
            <w:tcW w:w="1800" w:type="dxa"/>
            <w:vAlign w:val="center"/>
          </w:tcPr>
          <w:p w14:paraId="093F98E3" w14:textId="52DF62A6" w:rsidR="006B67C2" w:rsidRPr="00AA41C0" w:rsidRDefault="0065461C" w:rsidP="00532048">
            <w:r w:rsidRPr="00F61B4F">
              <w:t>UT Southwestern Medical Center</w:t>
            </w:r>
          </w:p>
        </w:tc>
      </w:tr>
    </w:tbl>
    <w:p w14:paraId="46324E32" w14:textId="77777777" w:rsidR="00283240" w:rsidRPr="002E0E97" w:rsidRDefault="00283240" w:rsidP="00B4095F">
      <w:pPr>
        <w:pStyle w:val="NormalWeb"/>
        <w:spacing w:before="0" w:beforeAutospacing="0" w:after="0" w:afterAutospacing="0"/>
        <w:rPr>
          <w:b/>
          <w:bCs/>
          <w:u w:val="single"/>
        </w:rPr>
      </w:pPr>
    </w:p>
    <w:p w14:paraId="12EEB87F" w14:textId="69CE5FA0" w:rsidR="00CB62DE" w:rsidRPr="00A72BF1" w:rsidRDefault="00CB62DE" w:rsidP="00B4095F">
      <w:pPr>
        <w:outlineLvl w:val="0"/>
        <w:rPr>
          <w:b/>
          <w:bCs/>
          <w:u w:val="single"/>
        </w:rPr>
      </w:pPr>
      <w:r w:rsidRPr="00B4095F">
        <w:rPr>
          <w:b/>
          <w:bCs/>
          <w:u w:val="single"/>
        </w:rPr>
        <w:t>Technological and Other Scientific Innovations</w:t>
      </w:r>
      <w:r w:rsidR="00A72BF1" w:rsidRPr="00A72BF1">
        <w:t xml:space="preserve"> </w:t>
      </w:r>
      <w:r w:rsidR="00A72BF1" w:rsidRPr="00A72BF1">
        <w:rPr>
          <w:highlight w:val="yellow"/>
        </w:rPr>
        <w:t>[</w:t>
      </w:r>
      <w:r w:rsidR="00A72BF1" w:rsidRPr="00A72BF1">
        <w:rPr>
          <w:i/>
          <w:iCs/>
          <w:highlight w:val="yellow"/>
        </w:rPr>
        <w:t>Patent, if any, pending or awarded /If described in print/on web, provide citation</w:t>
      </w:r>
      <w:r w:rsidR="00A72BF1" w:rsidRPr="00A72BF1">
        <w:rPr>
          <w:highlight w:val="yellow"/>
        </w:rPr>
        <w:t>]</w:t>
      </w:r>
    </w:p>
    <w:p w14:paraId="6B289BED" w14:textId="77777777" w:rsidR="00B4095F" w:rsidRPr="00B4095F" w:rsidRDefault="00B4095F" w:rsidP="00B4095F">
      <w:pPr>
        <w:outlineLvl w:val="0"/>
        <w:rPr>
          <w:b/>
          <w:bCs/>
          <w:u w:val="single"/>
        </w:rPr>
      </w:pPr>
    </w:p>
    <w:tbl>
      <w:tblPr>
        <w:tblStyle w:val="TableGrid"/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0A0" w:firstRow="1" w:lastRow="0" w:firstColumn="1" w:lastColumn="0" w:noHBand="0" w:noVBand="0"/>
      </w:tblPr>
      <w:tblGrid>
        <w:gridCol w:w="10218"/>
      </w:tblGrid>
      <w:tr w:rsidR="00CB62DE" w:rsidRPr="002E0E97" w14:paraId="71564614" w14:textId="77777777" w:rsidTr="00A72BF1">
        <w:tc>
          <w:tcPr>
            <w:tcW w:w="10218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FF2D15B" w14:textId="75DFF974" w:rsidR="00CB62DE" w:rsidRPr="00280E76" w:rsidRDefault="003C51C2" w:rsidP="00B4095F">
            <w:r w:rsidRPr="008B6A12">
              <w:rPr>
                <w:color w:val="000000" w:themeColor="text1"/>
              </w:rPr>
              <w:t xml:space="preserve">Co-Inventor of </w:t>
            </w:r>
            <w:r w:rsidR="00280E76" w:rsidRPr="008B6A12">
              <w:rPr>
                <w:color w:val="000000" w:themeColor="text1"/>
                <w:sz w:val="22"/>
                <w:szCs w:val="22"/>
              </w:rPr>
              <w:t>HYBRID SEQUENCE-STRUCTURE DEEP LEARNING SYSTEM FOR PREDICTING THE T CELL RECEPTOR BINDING SPECIFICITY OF T CELL ANTIGENS</w:t>
            </w:r>
            <w:r w:rsidR="008B6A12">
              <w:rPr>
                <w:color w:val="000000" w:themeColor="text1"/>
                <w:sz w:val="22"/>
                <w:szCs w:val="22"/>
              </w:rPr>
              <w:t>;</w:t>
            </w:r>
            <w:r w:rsidR="008B6A12" w:rsidRPr="008B6A12">
              <w:rPr>
                <w:color w:val="000000" w:themeColor="text1"/>
                <w:sz w:val="22"/>
                <w:szCs w:val="22"/>
              </w:rPr>
              <w:t xml:space="preserve"> </w:t>
            </w:r>
            <w:r w:rsidR="008B6A12" w:rsidRPr="008B6A12">
              <w:rPr>
                <w:color w:val="000000" w:themeColor="text1"/>
                <w:sz w:val="22"/>
                <w:szCs w:val="22"/>
              </w:rPr>
              <w:t>U.S. Patent Application No. 18/650,820</w:t>
            </w:r>
            <w:r w:rsidR="008B6A12">
              <w:rPr>
                <w:color w:val="000000" w:themeColor="text1"/>
                <w:sz w:val="22"/>
                <w:szCs w:val="22"/>
              </w:rPr>
              <w:t xml:space="preserve">; </w:t>
            </w:r>
            <w:r w:rsidR="00BD1871">
              <w:rPr>
                <w:color w:val="000000" w:themeColor="text1"/>
                <w:sz w:val="22"/>
                <w:szCs w:val="22"/>
              </w:rPr>
              <w:t>Pending</w:t>
            </w:r>
          </w:p>
        </w:tc>
      </w:tr>
    </w:tbl>
    <w:p w14:paraId="5390B689" w14:textId="77777777" w:rsidR="00CB62DE" w:rsidRPr="002E0E97" w:rsidRDefault="00CB62DE" w:rsidP="00B4095F">
      <w:pPr>
        <w:pStyle w:val="NormalWeb"/>
        <w:spacing w:before="0" w:beforeAutospacing="0" w:after="0" w:afterAutospacing="0"/>
        <w:rPr>
          <w:b/>
          <w:bCs/>
        </w:rPr>
      </w:pPr>
    </w:p>
    <w:p w14:paraId="71B787B3" w14:textId="77777777" w:rsidR="00CB62DE" w:rsidRDefault="009A5057" w:rsidP="00B4095F">
      <w:pPr>
        <w:outlineLvl w:val="0"/>
      </w:pPr>
      <w:r w:rsidRPr="00B4095F">
        <w:rPr>
          <w:b/>
          <w:bCs/>
          <w:u w:val="single"/>
        </w:rPr>
        <w:t>Bibliography</w:t>
      </w:r>
      <w:r w:rsidR="00CB62DE" w:rsidRPr="00B4095F">
        <w:t xml:space="preserve"> </w:t>
      </w:r>
    </w:p>
    <w:p w14:paraId="28DDC761" w14:textId="77777777" w:rsidR="00B4095F" w:rsidRPr="00B4095F" w:rsidRDefault="00B4095F" w:rsidP="00B4095F">
      <w:pPr>
        <w:outlineLvl w:val="0"/>
        <w:rPr>
          <w:i/>
          <w:iCs/>
          <w:u w:val="single"/>
        </w:rPr>
      </w:pPr>
    </w:p>
    <w:p w14:paraId="5F3696B3" w14:textId="50726446" w:rsidR="00CB62DE" w:rsidRPr="00B4095F" w:rsidRDefault="00CB62DE" w:rsidP="00B4095F">
      <w:pPr>
        <w:pStyle w:val="NormalWeb"/>
        <w:tabs>
          <w:tab w:val="num" w:pos="1320"/>
        </w:tabs>
        <w:spacing w:before="0" w:beforeAutospacing="0" w:after="0" w:afterAutospacing="0"/>
        <w:rPr>
          <w:b/>
          <w:bCs/>
        </w:rPr>
      </w:pPr>
      <w:r w:rsidRPr="00B4095F">
        <w:rPr>
          <w:b/>
          <w:bCs/>
        </w:rPr>
        <w:t>Peer</w:t>
      </w:r>
      <w:r w:rsidR="009A5057" w:rsidRPr="00B4095F">
        <w:rPr>
          <w:b/>
          <w:bCs/>
        </w:rPr>
        <w:t>-</w:t>
      </w:r>
      <w:r w:rsidRPr="00B4095F">
        <w:rPr>
          <w:b/>
          <w:bCs/>
        </w:rPr>
        <w:t xml:space="preserve">Reviewed Publications </w:t>
      </w:r>
      <w:r w:rsidR="00A72BF1" w:rsidRPr="00A72BF1">
        <w:rPr>
          <w:bCs/>
          <w:iCs/>
          <w:highlight w:val="yellow"/>
        </w:rPr>
        <w:t>[</w:t>
      </w:r>
      <w:r w:rsidR="00CA0F25">
        <w:rPr>
          <w:bCs/>
          <w:i/>
          <w:highlight w:val="yellow"/>
        </w:rPr>
        <w:t xml:space="preserve">List </w:t>
      </w:r>
      <w:r w:rsidR="00047DD8">
        <w:rPr>
          <w:bCs/>
          <w:i/>
          <w:highlight w:val="yellow"/>
        </w:rPr>
        <w:t>in chronological order with complete pagination. Authors should be listed in the same order as they appear in the published article</w:t>
      </w:r>
      <w:r w:rsidR="007111B8">
        <w:rPr>
          <w:bCs/>
          <w:i/>
          <w:highlight w:val="yellow"/>
        </w:rPr>
        <w:t>.</w:t>
      </w:r>
      <w:r w:rsidR="00A72BF1">
        <w:rPr>
          <w:bCs/>
          <w:iCs/>
          <w:highlight w:val="yellow"/>
        </w:rPr>
        <w:t>]</w:t>
      </w:r>
      <w:r w:rsidR="007111B8">
        <w:rPr>
          <w:bCs/>
          <w:i/>
          <w:highlight w:val="yellow"/>
        </w:rPr>
        <w:t xml:space="preserve"> </w:t>
      </w:r>
    </w:p>
    <w:p w14:paraId="4C402F49" w14:textId="77777777" w:rsidR="00C55D03" w:rsidRDefault="00C55D03" w:rsidP="00B4095F">
      <w:pPr>
        <w:ind w:left="120"/>
        <w:rPr>
          <w:u w:val="single"/>
        </w:rPr>
      </w:pPr>
    </w:p>
    <w:p w14:paraId="5562F0B0" w14:textId="77777777" w:rsidR="00E43744" w:rsidRPr="002E0E97" w:rsidRDefault="006A19F2" w:rsidP="00B4095F">
      <w:pPr>
        <w:ind w:left="120"/>
        <w:rPr>
          <w:u w:val="single"/>
        </w:rPr>
      </w:pPr>
      <w:r>
        <w:rPr>
          <w:u w:val="single"/>
        </w:rPr>
        <w:t xml:space="preserve">Original </w:t>
      </w:r>
      <w:r w:rsidR="00E43744" w:rsidRPr="002E0E97">
        <w:rPr>
          <w:u w:val="single"/>
        </w:rPr>
        <w:t xml:space="preserve">Research </w:t>
      </w:r>
      <w:r>
        <w:rPr>
          <w:u w:val="single"/>
        </w:rPr>
        <w:t>Articles</w:t>
      </w:r>
    </w:p>
    <w:p w14:paraId="4FB882BA" w14:textId="77777777" w:rsidR="00551CC2" w:rsidRPr="002E0E97" w:rsidRDefault="00551CC2" w:rsidP="00B4095F">
      <w:pPr>
        <w:ind w:left="480"/>
        <w:rPr>
          <w:u w:val="single"/>
        </w:rPr>
      </w:pPr>
    </w:p>
    <w:tbl>
      <w:tblPr>
        <w:tblStyle w:val="TableGrid"/>
        <w:tblW w:w="0" w:type="auto"/>
        <w:tblInd w:w="228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699"/>
        <w:gridCol w:w="9291"/>
      </w:tblGrid>
      <w:tr w:rsidR="00E43744" w:rsidRPr="002E0E97" w14:paraId="44B41828" w14:textId="77777777" w:rsidTr="00521A21">
        <w:trPr>
          <w:trHeight w:val="360"/>
        </w:trPr>
        <w:tc>
          <w:tcPr>
            <w:tcW w:w="699" w:type="dxa"/>
          </w:tcPr>
          <w:p w14:paraId="747BFDE5" w14:textId="77777777" w:rsidR="00E43744" w:rsidRPr="00E43744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91" w:type="dxa"/>
          </w:tcPr>
          <w:p w14:paraId="53C842B6" w14:textId="188B167E" w:rsidR="00E43744" w:rsidRPr="00452084" w:rsidRDefault="00452084" w:rsidP="00452084">
            <w:pPr>
              <w:snapToGrid w:val="0"/>
              <w:spacing w:before="240" w:line="288" w:lineRule="auto"/>
              <w:contextualSpacing/>
            </w:pPr>
            <w:r w:rsidRPr="00DF7EB0">
              <w:t xml:space="preserve">Xu, Y., </w:t>
            </w:r>
            <w:r w:rsidRPr="00452084">
              <w:rPr>
                <w:b/>
                <w:bCs/>
              </w:rPr>
              <w:t xml:space="preserve">Yang, Y., </w:t>
            </w:r>
            <w:r w:rsidRPr="00DF7EB0">
              <w:t>Wang, Z., Sj</w:t>
            </w:r>
            <w:r>
              <w:t>o</w:t>
            </w:r>
            <w:r w:rsidRPr="00DF7EB0">
              <w:t>str</w:t>
            </w:r>
            <w:r>
              <w:t>o</w:t>
            </w:r>
            <w:r w:rsidRPr="00DF7EB0">
              <w:t xml:space="preserve">m, M., Jiang, Y., Tang, Y., Cheng, S., Deng, S., Wang, C., Gonzalez, J., Johnson, N. A., Li, X., Li, X., </w:t>
            </w:r>
            <w:proofErr w:type="spellStart"/>
            <w:r w:rsidRPr="00DF7EB0">
              <w:t>Metang</w:t>
            </w:r>
            <w:proofErr w:type="spellEnd"/>
            <w:r w:rsidRPr="00DF7EB0">
              <w:t>, L. A., Mukherji, A., Xu, Q., Tirado, C. R., Wainwright, G., Yu, X., Barnes, S., Hofstad, M., Chen, Y., Zhu, H., Hanker, A., Raj, G., He, H. H.,</w:t>
            </w:r>
            <w:r>
              <w:t xml:space="preserve"> </w:t>
            </w:r>
            <w:r w:rsidRPr="00DF7EB0">
              <w:t xml:space="preserve">Wang, Z., Arteaga, C., Liang, H., Feng, F., Wang, Y., Wang, T., &amp; Mu, P. (2024). </w:t>
            </w:r>
            <w:r w:rsidRPr="001F6305">
              <w:t xml:space="preserve">ZNF397 Deficiency Triggers TET2-Driven Lineage Plasticity and AR-Targeted </w:t>
            </w:r>
            <w:r w:rsidRPr="001F6305">
              <w:lastRenderedPageBreak/>
              <w:t>Therapy Resistance in Prostate Cancer</w:t>
            </w:r>
            <w:r w:rsidRPr="00DF7EB0">
              <w:t xml:space="preserve">. </w:t>
            </w:r>
            <w:r w:rsidRPr="00452084">
              <w:rPr>
                <w:i/>
                <w:iCs/>
              </w:rPr>
              <w:t>Cancer Discovery</w:t>
            </w:r>
            <w:r w:rsidRPr="00DF7EB0">
              <w:t xml:space="preserve">. </w:t>
            </w:r>
            <w:hyperlink r:id="rId8" w:tgtFrame="_blank" w:history="1">
              <w:r w:rsidRPr="00452084">
                <w:rPr>
                  <w:rStyle w:val="Hyperlink"/>
                  <w:rFonts w:eastAsiaTheme="minorEastAsia"/>
                </w:rPr>
                <w:t>https://doi.org/10.1158/2159-8290.CD-23-0539</w:t>
              </w:r>
            </w:hyperlink>
          </w:p>
        </w:tc>
      </w:tr>
      <w:tr w:rsidR="00E43744" w:rsidRPr="002E0E97" w14:paraId="73C0A084" w14:textId="77777777" w:rsidTr="00521A21">
        <w:trPr>
          <w:trHeight w:val="360"/>
        </w:trPr>
        <w:tc>
          <w:tcPr>
            <w:tcW w:w="699" w:type="dxa"/>
          </w:tcPr>
          <w:p w14:paraId="4C0FA0C7" w14:textId="77777777" w:rsidR="00E43744" w:rsidRPr="00E43744" w:rsidRDefault="00E43744" w:rsidP="00B4095F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91" w:type="dxa"/>
          </w:tcPr>
          <w:p w14:paraId="0E97E1DD" w14:textId="1790CE28" w:rsidR="00E43744" w:rsidRPr="00521A21" w:rsidRDefault="00AC154E" w:rsidP="00521A21">
            <w:pPr>
              <w:snapToGrid w:val="0"/>
              <w:spacing w:line="288" w:lineRule="auto"/>
              <w:contextualSpacing/>
              <w:jc w:val="both"/>
              <w:rPr>
                <w:lang w:eastAsia="ko-KR"/>
              </w:rPr>
            </w:pPr>
            <w:r w:rsidRPr="00DF7EB0">
              <w:t xml:space="preserve">Barth, J., </w:t>
            </w:r>
            <w:r w:rsidRPr="00AC154E">
              <w:rPr>
                <w:b/>
                <w:bCs/>
              </w:rPr>
              <w:t>Yang, Y.,</w:t>
            </w:r>
            <w:r w:rsidRPr="00DF7EB0">
              <w:t xml:space="preserve"> Xiao, G., &amp; Wang, X. (2024). </w:t>
            </w:r>
            <w:proofErr w:type="spellStart"/>
            <w:r w:rsidRPr="00DF7EB0">
              <w:t>MetaNorm</w:t>
            </w:r>
            <w:proofErr w:type="spellEnd"/>
            <w:r w:rsidRPr="00DF7EB0">
              <w:t>: Incorporating meta-analytic priors</w:t>
            </w:r>
            <w:r>
              <w:t xml:space="preserve"> </w:t>
            </w:r>
            <w:r w:rsidRPr="00DF7EB0">
              <w:t xml:space="preserve">into normalization of </w:t>
            </w:r>
            <w:proofErr w:type="spellStart"/>
            <w:r w:rsidRPr="00DF7EB0">
              <w:t>NanoString</w:t>
            </w:r>
            <w:proofErr w:type="spellEnd"/>
            <w:r w:rsidRPr="00DF7EB0">
              <w:t xml:space="preserve"> nCounter data. </w:t>
            </w:r>
            <w:r w:rsidRPr="00AC154E">
              <w:rPr>
                <w:i/>
                <w:iCs/>
              </w:rPr>
              <w:t>Bioinformatics.</w:t>
            </w:r>
            <w:r>
              <w:t xml:space="preserve"> </w:t>
            </w:r>
            <w:r w:rsidRPr="00AC154E">
              <w:rPr>
                <w:b/>
                <w:bCs/>
              </w:rPr>
              <w:t>40</w:t>
            </w:r>
            <w:r>
              <w:t xml:space="preserve">(1), </w:t>
            </w:r>
            <w:r w:rsidRPr="00DF7EB0">
              <w:t xml:space="preserve">btae024. </w:t>
            </w:r>
            <w:hyperlink r:id="rId9" w:history="1">
              <w:r w:rsidRPr="00AC154E">
                <w:rPr>
                  <w:rStyle w:val="Hyperlink"/>
                  <w:rFonts w:eastAsiaTheme="minorEastAsia"/>
                </w:rPr>
                <w:t>https://doi.org/10.1093/bioinformatics/btae024</w:t>
              </w:r>
            </w:hyperlink>
            <w:r>
              <w:t xml:space="preserve">  </w:t>
            </w:r>
          </w:p>
        </w:tc>
      </w:tr>
      <w:tr w:rsidR="00521A21" w:rsidRPr="002E0E97" w14:paraId="6E866308" w14:textId="77777777" w:rsidTr="00521A21">
        <w:trPr>
          <w:trHeight w:val="360"/>
        </w:trPr>
        <w:tc>
          <w:tcPr>
            <w:tcW w:w="699" w:type="dxa"/>
          </w:tcPr>
          <w:p w14:paraId="7626487E" w14:textId="77777777" w:rsidR="00521A21" w:rsidRPr="00E43744" w:rsidRDefault="00521A21" w:rsidP="00521A21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91" w:type="dxa"/>
          </w:tcPr>
          <w:p w14:paraId="35B7FD8A" w14:textId="09A819FF" w:rsidR="00521A21" w:rsidRPr="00DF7EB0" w:rsidRDefault="00521A21" w:rsidP="00521A21">
            <w:pPr>
              <w:snapToGrid w:val="0"/>
              <w:spacing w:line="288" w:lineRule="auto"/>
              <w:contextualSpacing/>
              <w:jc w:val="both"/>
            </w:pPr>
            <w:r w:rsidRPr="00DF7EB0">
              <w:t xml:space="preserve">Mitchell, I., </w:t>
            </w:r>
            <w:r w:rsidRPr="00FC445E">
              <w:rPr>
                <w:b/>
                <w:bCs/>
              </w:rPr>
              <w:t>Yang, Y.,</w:t>
            </w:r>
            <w:r w:rsidRPr="00DF7EB0">
              <w:t xml:space="preserve"> Wang, Y., </w:t>
            </w:r>
            <w:proofErr w:type="spellStart"/>
            <w:r w:rsidRPr="00DF7EB0">
              <w:t>Hsiehchen</w:t>
            </w:r>
            <w:proofErr w:type="spellEnd"/>
            <w:r w:rsidRPr="00DF7EB0">
              <w:t xml:space="preserve">, D., Sheffield, T. Y., Fattah, F., </w:t>
            </w:r>
            <w:proofErr w:type="spellStart"/>
            <w:r w:rsidRPr="00DF7EB0">
              <w:t>Popat</w:t>
            </w:r>
            <w:proofErr w:type="spellEnd"/>
            <w:r w:rsidRPr="00DF7EB0">
              <w:t>, V., Ahmed, M.,</w:t>
            </w:r>
            <w:r>
              <w:t xml:space="preserve"> </w:t>
            </w:r>
            <w:proofErr w:type="spellStart"/>
            <w:r w:rsidRPr="00DF7EB0">
              <w:t>Homsi</w:t>
            </w:r>
            <w:proofErr w:type="spellEnd"/>
            <w:r w:rsidRPr="00DF7EB0">
              <w:t xml:space="preserve">, J., Dowell, J. E., </w:t>
            </w:r>
            <w:proofErr w:type="spellStart"/>
            <w:r w:rsidRPr="00DF7EB0">
              <w:t>Rashdan</w:t>
            </w:r>
            <w:proofErr w:type="spellEnd"/>
            <w:r w:rsidRPr="00DF7EB0">
              <w:t xml:space="preserve">, S., </w:t>
            </w:r>
            <w:proofErr w:type="spellStart"/>
            <w:r w:rsidRPr="00DF7EB0">
              <w:t>Lohrey</w:t>
            </w:r>
            <w:proofErr w:type="spellEnd"/>
            <w:r w:rsidRPr="00DF7EB0">
              <w:t xml:space="preserve">, J., Hammers, H. J., Hughes, R. S., Wang, T., Xie, </w:t>
            </w:r>
            <w:proofErr w:type="gramStart"/>
            <w:r w:rsidRPr="00DF7EB0">
              <w:t>Y.,&amp;</w:t>
            </w:r>
            <w:proofErr w:type="gramEnd"/>
            <w:r w:rsidRPr="00DF7EB0">
              <w:t xml:space="preserve"> Gerber, D. E. (2024). </w:t>
            </w:r>
            <w:r>
              <w:t>Highly variable timing renders immunotherapy efficacy and toxicity impractical biomarkers of one another in clinical practice</w:t>
            </w:r>
            <w:r w:rsidRPr="00DF7EB0">
              <w:t xml:space="preserve">. </w:t>
            </w:r>
            <w:r w:rsidRPr="00FC445E">
              <w:rPr>
                <w:i/>
                <w:iCs/>
              </w:rPr>
              <w:t>Frontiers in Immunology.</w:t>
            </w:r>
            <w:r w:rsidRPr="00DF7EB0">
              <w:t xml:space="preserve"> </w:t>
            </w:r>
            <w:r>
              <w:t xml:space="preserve">15:1351739. </w:t>
            </w:r>
            <w:hyperlink r:id="rId10" w:history="1">
              <w:r>
                <w:rPr>
                  <w:rStyle w:val="Hyperlink"/>
                  <w:rFonts w:eastAsiaTheme="minorEastAsia"/>
                </w:rPr>
                <w:t xml:space="preserve">https://doi.org/10.3389/fimmu.2024.1351739 </w:t>
              </w:r>
            </w:hyperlink>
          </w:p>
        </w:tc>
      </w:tr>
      <w:tr w:rsidR="00521A21" w:rsidRPr="002E0E97" w14:paraId="64DA7D55" w14:textId="77777777" w:rsidTr="00521A21">
        <w:trPr>
          <w:trHeight w:val="360"/>
        </w:trPr>
        <w:tc>
          <w:tcPr>
            <w:tcW w:w="699" w:type="dxa"/>
          </w:tcPr>
          <w:p w14:paraId="3FDAE1DD" w14:textId="77777777" w:rsidR="00521A21" w:rsidRPr="00E43744" w:rsidRDefault="00521A21" w:rsidP="00521A21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91" w:type="dxa"/>
          </w:tcPr>
          <w:p w14:paraId="4B17A324" w14:textId="11630C3D" w:rsidR="00521A21" w:rsidRPr="00F22CDD" w:rsidRDefault="00521A21" w:rsidP="00521A21">
            <w:pPr>
              <w:snapToGrid w:val="0"/>
              <w:spacing w:line="288" w:lineRule="auto"/>
              <w:contextualSpacing/>
              <w:jc w:val="both"/>
              <w:rPr>
                <w:lang w:eastAsia="ko-KR"/>
              </w:rPr>
            </w:pPr>
            <w:r w:rsidRPr="00F22CDD">
              <w:rPr>
                <w:b/>
                <w:bCs/>
              </w:rPr>
              <w:t>Yang, Y.,</w:t>
            </w:r>
            <w:r w:rsidRPr="00DF7EB0">
              <w:t xml:space="preserve"> Wang, K., Lu, Z., Wang, T., &amp; Wang, X. (2023). Cytomulate: Accurate and efficient simulation of </w:t>
            </w:r>
            <w:proofErr w:type="spellStart"/>
            <w:r w:rsidRPr="00DF7EB0">
              <w:t>cytof</w:t>
            </w:r>
            <w:proofErr w:type="spellEnd"/>
            <w:r w:rsidRPr="00DF7EB0">
              <w:t xml:space="preserve"> data. </w:t>
            </w:r>
            <w:r w:rsidRPr="00F22CDD">
              <w:rPr>
                <w:i/>
                <w:iCs/>
              </w:rPr>
              <w:t>Genome Biology.</w:t>
            </w:r>
            <w:r>
              <w:t xml:space="preserve"> </w:t>
            </w:r>
            <w:r w:rsidRPr="00F22CDD">
              <w:rPr>
                <w:b/>
                <w:bCs/>
              </w:rPr>
              <w:t>24</w:t>
            </w:r>
            <w:r w:rsidRPr="00DF7EB0">
              <w:t>(1).</w:t>
            </w:r>
            <w:r>
              <w:t xml:space="preserve"> </w:t>
            </w:r>
            <w:hyperlink r:id="rId11" w:history="1">
              <w:r w:rsidRPr="00F22CDD">
                <w:rPr>
                  <w:rStyle w:val="Hyperlink"/>
                  <w:rFonts w:eastAsiaTheme="minorEastAsia"/>
                </w:rPr>
                <w:t>https://doi.org/10.1186/s13059-023-03099-1</w:t>
              </w:r>
            </w:hyperlink>
          </w:p>
        </w:tc>
      </w:tr>
      <w:tr w:rsidR="00521A21" w:rsidRPr="002E0E97" w14:paraId="75C52543" w14:textId="77777777" w:rsidTr="00521A21">
        <w:trPr>
          <w:trHeight w:val="360"/>
        </w:trPr>
        <w:tc>
          <w:tcPr>
            <w:tcW w:w="699" w:type="dxa"/>
          </w:tcPr>
          <w:p w14:paraId="2D071D3E" w14:textId="77777777" w:rsidR="00521A21" w:rsidRPr="00E43744" w:rsidRDefault="00521A21" w:rsidP="00521A21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91" w:type="dxa"/>
          </w:tcPr>
          <w:p w14:paraId="04F99491" w14:textId="541AADEC" w:rsidR="00521A21" w:rsidRPr="00EC75CD" w:rsidRDefault="00521A21" w:rsidP="00521A21">
            <w:pPr>
              <w:snapToGrid w:val="0"/>
              <w:spacing w:line="288" w:lineRule="auto"/>
              <w:contextualSpacing/>
              <w:jc w:val="both"/>
              <w:rPr>
                <w:lang w:eastAsia="ko-KR"/>
              </w:rPr>
            </w:pPr>
            <w:r w:rsidRPr="00DF7EB0">
              <w:t xml:space="preserve">Wang, K., </w:t>
            </w:r>
            <w:r w:rsidRPr="00EC75CD">
              <w:rPr>
                <w:b/>
                <w:bCs/>
              </w:rPr>
              <w:t>Yang, Y.,</w:t>
            </w:r>
            <w:r w:rsidRPr="00DF7EB0">
              <w:t xml:space="preserve"> Wu, F., Song, B., Wang, X., &amp; Wang, T. (2023). Comparative analysis of dimension reduction methods for cytometry by time-of-flight data. </w:t>
            </w:r>
            <w:r w:rsidRPr="00EC75CD">
              <w:rPr>
                <w:i/>
                <w:iCs/>
              </w:rPr>
              <w:t>Nature Communications.</w:t>
            </w:r>
            <w:r w:rsidRPr="00EC75CD">
              <w:rPr>
                <w:i/>
                <w:iCs/>
              </w:rPr>
              <w:br/>
            </w:r>
            <w:r w:rsidRPr="00EC75CD">
              <w:rPr>
                <w:b/>
                <w:bCs/>
              </w:rPr>
              <w:t>14</w:t>
            </w:r>
            <w:r w:rsidRPr="00DF7EB0">
              <w:t xml:space="preserve">(1). </w:t>
            </w:r>
            <w:hyperlink r:id="rId12" w:history="1">
              <w:r w:rsidRPr="00EC75CD">
                <w:rPr>
                  <w:rStyle w:val="Hyperlink"/>
                  <w:rFonts w:eastAsiaTheme="minorEastAsia"/>
                </w:rPr>
                <w:t>https://doi.org/10.1038/s41467-023-37478-w</w:t>
              </w:r>
            </w:hyperlink>
          </w:p>
        </w:tc>
      </w:tr>
      <w:tr w:rsidR="00521A21" w:rsidRPr="002E0E97" w14:paraId="251A8B3B" w14:textId="77777777" w:rsidTr="00521A21">
        <w:trPr>
          <w:trHeight w:val="360"/>
        </w:trPr>
        <w:tc>
          <w:tcPr>
            <w:tcW w:w="699" w:type="dxa"/>
          </w:tcPr>
          <w:p w14:paraId="27336A16" w14:textId="77777777" w:rsidR="00521A21" w:rsidRPr="00E43744" w:rsidRDefault="00521A21" w:rsidP="00521A21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91" w:type="dxa"/>
          </w:tcPr>
          <w:p w14:paraId="7A799373" w14:textId="54BBA666" w:rsidR="00521A21" w:rsidRPr="002E0E97" w:rsidRDefault="00521A21" w:rsidP="00521A21">
            <w:pPr>
              <w:rPr>
                <w:u w:val="single"/>
              </w:rPr>
            </w:pPr>
            <w:r w:rsidRPr="00DF7EB0">
              <w:t xml:space="preserve">Rodriguez Tirado, C., Wang, C., Li, X., Deng, S., Gonzalez, J., Johnson, N. A., Xu, Y., </w:t>
            </w:r>
            <w:proofErr w:type="spellStart"/>
            <w:r w:rsidRPr="00DF7EB0">
              <w:t>Metang</w:t>
            </w:r>
            <w:proofErr w:type="spellEnd"/>
            <w:r w:rsidRPr="00DF7EB0">
              <w:t>,</w:t>
            </w:r>
            <w:r>
              <w:t xml:space="preserve"> </w:t>
            </w:r>
            <w:r w:rsidRPr="00DF7EB0">
              <w:t xml:space="preserve">L. A., Sundar Rajan, M., </w:t>
            </w:r>
            <w:r w:rsidRPr="00FC445E">
              <w:rPr>
                <w:b/>
                <w:bCs/>
              </w:rPr>
              <w:t>Yang, Y.,</w:t>
            </w:r>
            <w:r w:rsidRPr="00DF7EB0">
              <w:t xml:space="preserve"> Yin, Y., Hofstad, M., Raj, G. V., Zhang, S., </w:t>
            </w:r>
            <w:proofErr w:type="spellStart"/>
            <w:r w:rsidRPr="00DF7EB0">
              <w:t>Lemoff</w:t>
            </w:r>
            <w:proofErr w:type="spellEnd"/>
            <w:r w:rsidRPr="00DF7EB0">
              <w:t>, A., He, W.,</w:t>
            </w:r>
            <w:r>
              <w:t xml:space="preserve"> </w:t>
            </w:r>
            <w:r w:rsidRPr="00DF7EB0">
              <w:t xml:space="preserve">Fan, J., Wang, Y., Wang, T., &amp; Mu, P. (2023). Ube2j1 is the e2 ubiquitin-conjugating enzyme regulating androgen receptor degradation and antiandrogen resistance. </w:t>
            </w:r>
            <w:r w:rsidRPr="00FC445E">
              <w:rPr>
                <w:i/>
                <w:iCs/>
              </w:rPr>
              <w:t>Oncogene.</w:t>
            </w:r>
            <w:r w:rsidRPr="00DF7EB0">
              <w:t xml:space="preserve"> </w:t>
            </w:r>
            <w:hyperlink r:id="rId13" w:history="1">
              <w:r w:rsidRPr="007B5304">
                <w:rPr>
                  <w:rStyle w:val="Hyperlink"/>
                  <w:rFonts w:eastAsiaTheme="minorEastAsia"/>
                </w:rPr>
                <w:t>https://doi.org/10.1038/s41388-023-02890-5</w:t>
              </w:r>
            </w:hyperlink>
          </w:p>
        </w:tc>
      </w:tr>
      <w:tr w:rsidR="00521A21" w:rsidRPr="002E0E97" w14:paraId="3EF50602" w14:textId="77777777" w:rsidTr="00521A21">
        <w:trPr>
          <w:trHeight w:val="360"/>
        </w:trPr>
        <w:tc>
          <w:tcPr>
            <w:tcW w:w="699" w:type="dxa"/>
          </w:tcPr>
          <w:p w14:paraId="065C1201" w14:textId="77777777" w:rsidR="00521A21" w:rsidRPr="00E43744" w:rsidRDefault="00521A21" w:rsidP="00521A21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91" w:type="dxa"/>
          </w:tcPr>
          <w:p w14:paraId="152B735A" w14:textId="76E82572" w:rsidR="00521A21" w:rsidRPr="00781976" w:rsidRDefault="00521A21" w:rsidP="00521A21">
            <w:pPr>
              <w:snapToGrid w:val="0"/>
              <w:spacing w:before="240" w:line="288" w:lineRule="auto"/>
              <w:contextualSpacing/>
            </w:pPr>
            <w:r w:rsidRPr="00DF7EB0">
              <w:t>Li, X., Wang, Y., Deng, S., Zhu, G., Wang, C., Johnson, N., Zhang, Z., Tirado, C. R., Xu, Y.,</w:t>
            </w:r>
            <w:r w:rsidRPr="00DF7EB0">
              <w:br/>
            </w:r>
            <w:proofErr w:type="spellStart"/>
            <w:r w:rsidRPr="00DF7EB0">
              <w:t>Metang</w:t>
            </w:r>
            <w:proofErr w:type="spellEnd"/>
            <w:r w:rsidRPr="00DF7EB0">
              <w:t xml:space="preserve">, L., Gonzalez, J., Mukherji, A., Ye, J., </w:t>
            </w:r>
            <w:r w:rsidRPr="00781976">
              <w:rPr>
                <w:b/>
                <w:bCs/>
              </w:rPr>
              <w:t>Yang, Y.,</w:t>
            </w:r>
            <w:r w:rsidRPr="00DF7EB0">
              <w:t xml:space="preserve"> Peng, W., Tang, Y., Hofstad, M., Xie, Z.,</w:t>
            </w:r>
            <w:r>
              <w:t xml:space="preserve"> </w:t>
            </w:r>
            <w:r w:rsidRPr="00DF7EB0">
              <w:t>Yoon, H., Chen, L., Liu, X., Chen, S., Zhu, H., Strand, D., Liang, H., Raj, G., He, H. H., Mendell,</w:t>
            </w:r>
            <w:r>
              <w:t xml:space="preserve"> </w:t>
            </w:r>
            <w:r w:rsidRPr="00DF7EB0">
              <w:t xml:space="preserve">J., Li, B., Wang, T., &amp; Mu, P. (2023). Loss of SYNCRIP Unleashes APOBEC-driven Mutagenesis, Tumor Heterogeneity and AR-targeted Therapy Resistance in Prostate Cancer. </w:t>
            </w:r>
            <w:r w:rsidRPr="00781976">
              <w:rPr>
                <w:i/>
                <w:iCs/>
              </w:rPr>
              <w:t>Cancer Cell.</w:t>
            </w:r>
            <w:r>
              <w:t xml:space="preserve"> </w:t>
            </w:r>
            <w:hyperlink r:id="rId14" w:history="1">
              <w:r w:rsidRPr="00781976">
                <w:rPr>
                  <w:rStyle w:val="Hyperlink"/>
                  <w:rFonts w:eastAsiaTheme="minorEastAsia"/>
                </w:rPr>
                <w:t>https://doi.org/10.1016/j.ccell.2023.06.010</w:t>
              </w:r>
            </w:hyperlink>
            <w:r>
              <w:t xml:space="preserve"> </w:t>
            </w:r>
          </w:p>
        </w:tc>
      </w:tr>
      <w:tr w:rsidR="00521A21" w:rsidRPr="002E0E97" w14:paraId="3B685A23" w14:textId="77777777" w:rsidTr="00521A21">
        <w:trPr>
          <w:trHeight w:val="360"/>
        </w:trPr>
        <w:tc>
          <w:tcPr>
            <w:tcW w:w="699" w:type="dxa"/>
          </w:tcPr>
          <w:p w14:paraId="719CE32C" w14:textId="77777777" w:rsidR="00521A21" w:rsidRPr="00E43744" w:rsidRDefault="00521A21" w:rsidP="00521A21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91" w:type="dxa"/>
          </w:tcPr>
          <w:p w14:paraId="2AC3FA5C" w14:textId="315C00C7" w:rsidR="00521A21" w:rsidRPr="002E0E97" w:rsidRDefault="00521A21" w:rsidP="00521A21">
            <w:pPr>
              <w:rPr>
                <w:u w:val="single"/>
              </w:rPr>
            </w:pPr>
            <w:r w:rsidRPr="00DF7EB0">
              <w:t xml:space="preserve">Mundra, V.*, </w:t>
            </w:r>
            <w:r w:rsidRPr="00FC445E">
              <w:rPr>
                <w:b/>
                <w:bCs/>
              </w:rPr>
              <w:t>Yang, Y.*,</w:t>
            </w:r>
            <w:r w:rsidRPr="00DF7EB0">
              <w:t xml:space="preserve"> von </w:t>
            </w:r>
            <w:proofErr w:type="spellStart"/>
            <w:r w:rsidRPr="00DF7EB0">
              <w:t>Itzstein</w:t>
            </w:r>
            <w:proofErr w:type="spellEnd"/>
            <w:r w:rsidRPr="00DF7EB0">
              <w:t xml:space="preserve">, M. S., Fattah, F., </w:t>
            </w:r>
            <w:proofErr w:type="spellStart"/>
            <w:r w:rsidRPr="00DF7EB0">
              <w:t>Gonugunta</w:t>
            </w:r>
            <w:proofErr w:type="spellEnd"/>
            <w:r w:rsidRPr="00DF7EB0">
              <w:t>, A. S., Hannan, R., Pop, L. M.,</w:t>
            </w:r>
            <w:r>
              <w:t xml:space="preserve"> </w:t>
            </w:r>
            <w:r w:rsidRPr="00DF7EB0">
              <w:t xml:space="preserve">Zhang, Y., Wang, Y., Sheffield, T., Xie, Y., Dowell, J. E., </w:t>
            </w:r>
            <w:proofErr w:type="spellStart"/>
            <w:r w:rsidRPr="00DF7EB0">
              <w:t>Homsi</w:t>
            </w:r>
            <w:proofErr w:type="spellEnd"/>
            <w:r w:rsidRPr="00DF7EB0">
              <w:t xml:space="preserve">, J., </w:t>
            </w:r>
            <w:proofErr w:type="spellStart"/>
            <w:r w:rsidRPr="00DF7EB0">
              <w:t>Rashdan</w:t>
            </w:r>
            <w:proofErr w:type="spellEnd"/>
            <w:r w:rsidRPr="00DF7EB0">
              <w:t>, S., Park, J., Li, Q.-Z.,</w:t>
            </w:r>
            <w:r>
              <w:t xml:space="preserve"> </w:t>
            </w:r>
            <w:r w:rsidRPr="00DF7EB0">
              <w:t xml:space="preserve">Wakeland, E. K., &amp; Gerber, D. E. (2023). Systemic immune parameters after prior radiation therapy in patients receiving immune checkpoint inhibitors. </w:t>
            </w:r>
            <w:r w:rsidRPr="00FC445E">
              <w:rPr>
                <w:i/>
                <w:iCs/>
              </w:rPr>
              <w:t>Translational Oncology.</w:t>
            </w:r>
            <w:r w:rsidRPr="00DF7EB0">
              <w:t xml:space="preserve"> 34,</w:t>
            </w:r>
            <w:r>
              <w:t xml:space="preserve"> </w:t>
            </w:r>
            <w:r w:rsidRPr="00DF7EB0">
              <w:t xml:space="preserve">101689. </w:t>
            </w:r>
            <w:hyperlink r:id="rId15" w:history="1">
              <w:r w:rsidRPr="007B5304">
                <w:rPr>
                  <w:rStyle w:val="Hyperlink"/>
                  <w:rFonts w:eastAsiaTheme="minorEastAsia"/>
                </w:rPr>
                <w:t>https://doi.org/10.1016/j.tranon.2023.101689</w:t>
              </w:r>
            </w:hyperlink>
          </w:p>
        </w:tc>
      </w:tr>
      <w:tr w:rsidR="00521A21" w:rsidRPr="002E0E97" w14:paraId="691D1BE6" w14:textId="77777777" w:rsidTr="00521A21">
        <w:trPr>
          <w:trHeight w:val="360"/>
        </w:trPr>
        <w:tc>
          <w:tcPr>
            <w:tcW w:w="699" w:type="dxa"/>
          </w:tcPr>
          <w:p w14:paraId="3B237482" w14:textId="77777777" w:rsidR="00521A21" w:rsidRPr="00E43744" w:rsidRDefault="00521A21" w:rsidP="00521A21">
            <w:pPr>
              <w:numPr>
                <w:ilvl w:val="0"/>
                <w:numId w:val="4"/>
              </w:numPr>
              <w:ind w:left="360"/>
            </w:pPr>
          </w:p>
        </w:tc>
        <w:tc>
          <w:tcPr>
            <w:tcW w:w="9291" w:type="dxa"/>
          </w:tcPr>
          <w:p w14:paraId="5A3973D2" w14:textId="62808EE9" w:rsidR="00521A21" w:rsidRPr="006378C0" w:rsidRDefault="006378C0" w:rsidP="006378C0">
            <w:pPr>
              <w:snapToGrid w:val="0"/>
              <w:spacing w:line="288" w:lineRule="auto"/>
              <w:contextualSpacing/>
              <w:jc w:val="both"/>
              <w:rPr>
                <w:lang w:eastAsia="ko-KR"/>
              </w:rPr>
            </w:pPr>
            <w:r w:rsidRPr="00DF7EB0">
              <w:t xml:space="preserve">Zhang, Z., Chang, W., Wang, K., </w:t>
            </w:r>
            <w:r w:rsidRPr="006378C0">
              <w:rPr>
                <w:b/>
                <w:bCs/>
              </w:rPr>
              <w:t>Yang, Y.,</w:t>
            </w:r>
            <w:r w:rsidRPr="00DF7EB0">
              <w:t xml:space="preserve"> Wang, X., Yao, C., Wu, T., Wang, L., &amp; Wang, T. (2022).</w:t>
            </w:r>
            <w:r>
              <w:t xml:space="preserve"> </w:t>
            </w:r>
            <w:r w:rsidRPr="00DF7EB0">
              <w:t xml:space="preserve">Interpreting the B-cell receptor repertoire with single-cell gene expression using </w:t>
            </w:r>
            <w:proofErr w:type="spellStart"/>
            <w:r w:rsidRPr="00DF7EB0">
              <w:t>Benisse</w:t>
            </w:r>
            <w:proofErr w:type="spellEnd"/>
            <w:r w:rsidRPr="00DF7EB0">
              <w:t>.</w:t>
            </w:r>
            <w:r>
              <w:t xml:space="preserve"> </w:t>
            </w:r>
            <w:r w:rsidRPr="006378C0">
              <w:rPr>
                <w:i/>
                <w:iCs/>
              </w:rPr>
              <w:t>Nature</w:t>
            </w:r>
            <w:r>
              <w:rPr>
                <w:i/>
                <w:iCs/>
              </w:rPr>
              <w:t xml:space="preserve"> </w:t>
            </w:r>
            <w:r w:rsidRPr="006378C0">
              <w:rPr>
                <w:i/>
                <w:iCs/>
              </w:rPr>
              <w:t>Machine Intelligence.</w:t>
            </w:r>
            <w:r w:rsidRPr="00DF7EB0">
              <w:t xml:space="preserve"> </w:t>
            </w:r>
            <w:r w:rsidRPr="006378C0">
              <w:rPr>
                <w:b/>
                <w:bCs/>
              </w:rPr>
              <w:t>4</w:t>
            </w:r>
            <w:r w:rsidRPr="00DF7EB0">
              <w:t xml:space="preserve">(6), 596–604. </w:t>
            </w:r>
            <w:hyperlink r:id="rId16" w:history="1">
              <w:r w:rsidRPr="006378C0">
                <w:rPr>
                  <w:rStyle w:val="Hyperlink"/>
                  <w:rFonts w:eastAsiaTheme="minorEastAsia"/>
                </w:rPr>
                <w:t>https://doi.org/10.1038/s42256-022-00492-</w:t>
              </w:r>
            </w:hyperlink>
            <w:r w:rsidRPr="006378C0">
              <w:rPr>
                <w:u w:val="single"/>
              </w:rPr>
              <w:t>6</w:t>
            </w:r>
          </w:p>
        </w:tc>
      </w:tr>
    </w:tbl>
    <w:p w14:paraId="58CB1A68" w14:textId="77777777" w:rsidR="00CB62DE" w:rsidRPr="006A19F2" w:rsidRDefault="00CB62DE" w:rsidP="006A19F2">
      <w:pPr>
        <w:tabs>
          <w:tab w:val="num" w:pos="1800"/>
        </w:tabs>
      </w:pPr>
    </w:p>
    <w:sectPr w:rsidR="00CB62DE" w:rsidRPr="006A19F2" w:rsidSect="00D42B32">
      <w:headerReference w:type="default" r:id="rId17"/>
      <w:footerReference w:type="default" r:id="rId18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B66C4" w14:textId="77777777" w:rsidR="0020645B" w:rsidRDefault="0020645B">
      <w:r>
        <w:separator/>
      </w:r>
    </w:p>
  </w:endnote>
  <w:endnote w:type="continuationSeparator" w:id="0">
    <w:p w14:paraId="2829374A" w14:textId="77777777" w:rsidR="0020645B" w:rsidRDefault="0020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DEEB9" w14:textId="1AC1D717" w:rsidR="005025DE" w:rsidRDefault="005025DE" w:rsidP="00CB62D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08394" w14:textId="77777777" w:rsidR="0020645B" w:rsidRDefault="0020645B">
      <w:r>
        <w:separator/>
      </w:r>
    </w:p>
  </w:footnote>
  <w:footnote w:type="continuationSeparator" w:id="0">
    <w:p w14:paraId="7BF4F599" w14:textId="77777777" w:rsidR="0020645B" w:rsidRDefault="00206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4E7C8" w14:textId="77777777" w:rsidR="005025DE" w:rsidRPr="001B3E81" w:rsidRDefault="005025DE" w:rsidP="00CB62DE">
    <w:pPr>
      <w:pStyle w:val="Header"/>
      <w:tabs>
        <w:tab w:val="clear" w:pos="8640"/>
        <w:tab w:val="right" w:pos="9960"/>
      </w:tabs>
      <w:rPr>
        <w:sz w:val="18"/>
        <w:szCs w:val="18"/>
      </w:rPr>
    </w:pP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1C23"/>
    <w:multiLevelType w:val="hybridMultilevel"/>
    <w:tmpl w:val="50CAB64A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" w15:restartNumberingAfterBreak="0">
    <w:nsid w:val="10926640"/>
    <w:multiLevelType w:val="hybridMultilevel"/>
    <w:tmpl w:val="F5706C40"/>
    <w:lvl w:ilvl="0" w:tplc="B220FA7A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hint="default"/>
        <w:color w:val="000000"/>
      </w:rPr>
    </w:lvl>
    <w:lvl w:ilvl="1" w:tplc="00030409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1A644B2"/>
    <w:multiLevelType w:val="hybridMultilevel"/>
    <w:tmpl w:val="355690CC"/>
    <w:lvl w:ilvl="0" w:tplc="3A5E4248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23F15"/>
    <w:multiLevelType w:val="hybridMultilevel"/>
    <w:tmpl w:val="B9021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115546"/>
    <w:multiLevelType w:val="hybridMultilevel"/>
    <w:tmpl w:val="36E0B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1B239D"/>
    <w:multiLevelType w:val="hybridMultilevel"/>
    <w:tmpl w:val="DAB62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5311C1"/>
    <w:multiLevelType w:val="hybridMultilevel"/>
    <w:tmpl w:val="86000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09B011C"/>
    <w:multiLevelType w:val="hybridMultilevel"/>
    <w:tmpl w:val="B790927E"/>
    <w:lvl w:ilvl="0" w:tplc="86D4DC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13BEA"/>
    <w:multiLevelType w:val="hybridMultilevel"/>
    <w:tmpl w:val="669CEE7E"/>
    <w:lvl w:ilvl="0" w:tplc="7ECCD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12DB3"/>
    <w:multiLevelType w:val="hybridMultilevel"/>
    <w:tmpl w:val="C3C0347E"/>
    <w:lvl w:ilvl="0" w:tplc="ADC25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D5465"/>
    <w:multiLevelType w:val="hybridMultilevel"/>
    <w:tmpl w:val="0128C04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71483846"/>
    <w:multiLevelType w:val="hybridMultilevel"/>
    <w:tmpl w:val="03182C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16E5DEA"/>
    <w:multiLevelType w:val="hybridMultilevel"/>
    <w:tmpl w:val="36EEBE54"/>
    <w:lvl w:ilvl="0" w:tplc="1938C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2395F"/>
    <w:multiLevelType w:val="hybridMultilevel"/>
    <w:tmpl w:val="404C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044236"/>
    <w:multiLevelType w:val="hybridMultilevel"/>
    <w:tmpl w:val="C2885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72468BD"/>
    <w:multiLevelType w:val="hybridMultilevel"/>
    <w:tmpl w:val="E732F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9352A2D"/>
    <w:multiLevelType w:val="hybridMultilevel"/>
    <w:tmpl w:val="C18E06B6"/>
    <w:lvl w:ilvl="0" w:tplc="B220FA7A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hint="default"/>
        <w:color w:val="000000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</w:rPr>
    </w:lvl>
    <w:lvl w:ilvl="2" w:tplc="0005040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00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2084448">
    <w:abstractNumId w:val="1"/>
  </w:num>
  <w:num w:numId="2" w16cid:durableId="1272280506">
    <w:abstractNumId w:val="16"/>
  </w:num>
  <w:num w:numId="3" w16cid:durableId="83307418">
    <w:abstractNumId w:val="2"/>
  </w:num>
  <w:num w:numId="4" w16cid:durableId="530805217">
    <w:abstractNumId w:val="6"/>
  </w:num>
  <w:num w:numId="5" w16cid:durableId="249513263">
    <w:abstractNumId w:val="3"/>
  </w:num>
  <w:num w:numId="6" w16cid:durableId="178010476">
    <w:abstractNumId w:val="15"/>
  </w:num>
  <w:num w:numId="7" w16cid:durableId="1971086804">
    <w:abstractNumId w:val="11"/>
  </w:num>
  <w:num w:numId="8" w16cid:durableId="1581937753">
    <w:abstractNumId w:val="14"/>
  </w:num>
  <w:num w:numId="9" w16cid:durableId="999381244">
    <w:abstractNumId w:val="5"/>
  </w:num>
  <w:num w:numId="10" w16cid:durableId="1142232087">
    <w:abstractNumId w:val="0"/>
  </w:num>
  <w:num w:numId="11" w16cid:durableId="1794667627">
    <w:abstractNumId w:val="4"/>
  </w:num>
  <w:num w:numId="12" w16cid:durableId="625939393">
    <w:abstractNumId w:val="13"/>
  </w:num>
  <w:num w:numId="13" w16cid:durableId="1479804310">
    <w:abstractNumId w:val="8"/>
  </w:num>
  <w:num w:numId="14" w16cid:durableId="1094939096">
    <w:abstractNumId w:val="12"/>
  </w:num>
  <w:num w:numId="15" w16cid:durableId="2093577620">
    <w:abstractNumId w:val="9"/>
  </w:num>
  <w:num w:numId="16" w16cid:durableId="2007591266">
    <w:abstractNumId w:val="10"/>
  </w:num>
  <w:num w:numId="17" w16cid:durableId="83788747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08BE22D-9E72-4510-BBFB-B1875B3685E3}"/>
    <w:docVar w:name="dgnword-eventsink" w:val="67082320"/>
  </w:docVars>
  <w:rsids>
    <w:rsidRoot w:val="00AD65E4"/>
    <w:rsid w:val="00006F74"/>
    <w:rsid w:val="00015CF0"/>
    <w:rsid w:val="000202B5"/>
    <w:rsid w:val="000426E7"/>
    <w:rsid w:val="000453DF"/>
    <w:rsid w:val="0004589C"/>
    <w:rsid w:val="00047DD8"/>
    <w:rsid w:val="00053780"/>
    <w:rsid w:val="000669B9"/>
    <w:rsid w:val="00067FBC"/>
    <w:rsid w:val="000835BB"/>
    <w:rsid w:val="000970F9"/>
    <w:rsid w:val="000A4B38"/>
    <w:rsid w:val="000A4F60"/>
    <w:rsid w:val="000C7077"/>
    <w:rsid w:val="000D1C03"/>
    <w:rsid w:val="00102AE2"/>
    <w:rsid w:val="00116F0D"/>
    <w:rsid w:val="00126975"/>
    <w:rsid w:val="00145DFC"/>
    <w:rsid w:val="00171488"/>
    <w:rsid w:val="00193BBE"/>
    <w:rsid w:val="00194B44"/>
    <w:rsid w:val="001B3E81"/>
    <w:rsid w:val="001D17DD"/>
    <w:rsid w:val="001D2BE2"/>
    <w:rsid w:val="001E2558"/>
    <w:rsid w:val="0020645B"/>
    <w:rsid w:val="002229AC"/>
    <w:rsid w:val="002319B2"/>
    <w:rsid w:val="00265BDB"/>
    <w:rsid w:val="00267B29"/>
    <w:rsid w:val="00272691"/>
    <w:rsid w:val="00280E76"/>
    <w:rsid w:val="00283240"/>
    <w:rsid w:val="002B2145"/>
    <w:rsid w:val="002E0E97"/>
    <w:rsid w:val="00317A22"/>
    <w:rsid w:val="00320792"/>
    <w:rsid w:val="00332C4B"/>
    <w:rsid w:val="003406F5"/>
    <w:rsid w:val="0034082B"/>
    <w:rsid w:val="003448A4"/>
    <w:rsid w:val="003602EF"/>
    <w:rsid w:val="003918D8"/>
    <w:rsid w:val="003979AB"/>
    <w:rsid w:val="003B25CE"/>
    <w:rsid w:val="003C51C2"/>
    <w:rsid w:val="00412840"/>
    <w:rsid w:val="0041416C"/>
    <w:rsid w:val="004445B1"/>
    <w:rsid w:val="004502B7"/>
    <w:rsid w:val="00452084"/>
    <w:rsid w:val="004524BD"/>
    <w:rsid w:val="004726A9"/>
    <w:rsid w:val="00485406"/>
    <w:rsid w:val="004901A7"/>
    <w:rsid w:val="004A4D8C"/>
    <w:rsid w:val="004B411A"/>
    <w:rsid w:val="004C1F50"/>
    <w:rsid w:val="004C2A0C"/>
    <w:rsid w:val="004C4E55"/>
    <w:rsid w:val="004D190B"/>
    <w:rsid w:val="004D4194"/>
    <w:rsid w:val="004E25D3"/>
    <w:rsid w:val="004E39C5"/>
    <w:rsid w:val="004E49F7"/>
    <w:rsid w:val="004E6DEC"/>
    <w:rsid w:val="005025DE"/>
    <w:rsid w:val="00517BA0"/>
    <w:rsid w:val="00521A21"/>
    <w:rsid w:val="005321A0"/>
    <w:rsid w:val="005366E7"/>
    <w:rsid w:val="005442B7"/>
    <w:rsid w:val="00547027"/>
    <w:rsid w:val="00551CC2"/>
    <w:rsid w:val="005715AE"/>
    <w:rsid w:val="00581951"/>
    <w:rsid w:val="00586952"/>
    <w:rsid w:val="00591B73"/>
    <w:rsid w:val="00597391"/>
    <w:rsid w:val="005A12A9"/>
    <w:rsid w:val="005B6E93"/>
    <w:rsid w:val="005C5C55"/>
    <w:rsid w:val="005D2FA9"/>
    <w:rsid w:val="005F5C01"/>
    <w:rsid w:val="005F6801"/>
    <w:rsid w:val="006344EA"/>
    <w:rsid w:val="006378C0"/>
    <w:rsid w:val="0065461C"/>
    <w:rsid w:val="0066454D"/>
    <w:rsid w:val="00693858"/>
    <w:rsid w:val="006A19F2"/>
    <w:rsid w:val="006B67C2"/>
    <w:rsid w:val="006C0072"/>
    <w:rsid w:val="006E3CF6"/>
    <w:rsid w:val="006F2076"/>
    <w:rsid w:val="006F28B6"/>
    <w:rsid w:val="007010DE"/>
    <w:rsid w:val="007111B8"/>
    <w:rsid w:val="00720A88"/>
    <w:rsid w:val="00732FE4"/>
    <w:rsid w:val="007376D1"/>
    <w:rsid w:val="00737EA2"/>
    <w:rsid w:val="00745202"/>
    <w:rsid w:val="00762DEE"/>
    <w:rsid w:val="00781976"/>
    <w:rsid w:val="0078277B"/>
    <w:rsid w:val="00793547"/>
    <w:rsid w:val="007943E3"/>
    <w:rsid w:val="007A18EE"/>
    <w:rsid w:val="007C0202"/>
    <w:rsid w:val="007C46CF"/>
    <w:rsid w:val="007C6397"/>
    <w:rsid w:val="007E6F63"/>
    <w:rsid w:val="007F6EB3"/>
    <w:rsid w:val="0081128E"/>
    <w:rsid w:val="008367FF"/>
    <w:rsid w:val="0084336F"/>
    <w:rsid w:val="00843573"/>
    <w:rsid w:val="00853CA3"/>
    <w:rsid w:val="0085579D"/>
    <w:rsid w:val="0087702D"/>
    <w:rsid w:val="008959DD"/>
    <w:rsid w:val="008A29EA"/>
    <w:rsid w:val="008A73E0"/>
    <w:rsid w:val="008B13B7"/>
    <w:rsid w:val="008B6A12"/>
    <w:rsid w:val="008D1FC1"/>
    <w:rsid w:val="008F7180"/>
    <w:rsid w:val="00902943"/>
    <w:rsid w:val="0093688C"/>
    <w:rsid w:val="00941BFB"/>
    <w:rsid w:val="0094239E"/>
    <w:rsid w:val="00945FC6"/>
    <w:rsid w:val="00950E06"/>
    <w:rsid w:val="00966417"/>
    <w:rsid w:val="009743E4"/>
    <w:rsid w:val="00976D0D"/>
    <w:rsid w:val="00977C1E"/>
    <w:rsid w:val="009A42DA"/>
    <w:rsid w:val="009A5057"/>
    <w:rsid w:val="009A75B8"/>
    <w:rsid w:val="009F2961"/>
    <w:rsid w:val="00A258C3"/>
    <w:rsid w:val="00A45C13"/>
    <w:rsid w:val="00A46148"/>
    <w:rsid w:val="00A46510"/>
    <w:rsid w:val="00A72BF1"/>
    <w:rsid w:val="00A91168"/>
    <w:rsid w:val="00AA5786"/>
    <w:rsid w:val="00AC00D9"/>
    <w:rsid w:val="00AC154E"/>
    <w:rsid w:val="00AC3466"/>
    <w:rsid w:val="00AC5A66"/>
    <w:rsid w:val="00AC6856"/>
    <w:rsid w:val="00AD06BD"/>
    <w:rsid w:val="00AD5B4B"/>
    <w:rsid w:val="00AD65E4"/>
    <w:rsid w:val="00AD67F9"/>
    <w:rsid w:val="00AE7F97"/>
    <w:rsid w:val="00AE7FFE"/>
    <w:rsid w:val="00B0522D"/>
    <w:rsid w:val="00B128F2"/>
    <w:rsid w:val="00B228FA"/>
    <w:rsid w:val="00B4095F"/>
    <w:rsid w:val="00B45C9F"/>
    <w:rsid w:val="00B52E2D"/>
    <w:rsid w:val="00B65BA4"/>
    <w:rsid w:val="00B6677E"/>
    <w:rsid w:val="00B713EC"/>
    <w:rsid w:val="00B7304A"/>
    <w:rsid w:val="00B7569C"/>
    <w:rsid w:val="00B942FE"/>
    <w:rsid w:val="00BC0461"/>
    <w:rsid w:val="00BD1871"/>
    <w:rsid w:val="00C113ED"/>
    <w:rsid w:val="00C15F20"/>
    <w:rsid w:val="00C166DB"/>
    <w:rsid w:val="00C55D03"/>
    <w:rsid w:val="00C96E19"/>
    <w:rsid w:val="00CA0F25"/>
    <w:rsid w:val="00CB3B1D"/>
    <w:rsid w:val="00CB62DE"/>
    <w:rsid w:val="00CC56A9"/>
    <w:rsid w:val="00CC6B4D"/>
    <w:rsid w:val="00CD3690"/>
    <w:rsid w:val="00CD7F36"/>
    <w:rsid w:val="00CE27D4"/>
    <w:rsid w:val="00CE5320"/>
    <w:rsid w:val="00CE77EE"/>
    <w:rsid w:val="00D0798F"/>
    <w:rsid w:val="00D07A37"/>
    <w:rsid w:val="00D30988"/>
    <w:rsid w:val="00D42B32"/>
    <w:rsid w:val="00D44A7B"/>
    <w:rsid w:val="00D5177D"/>
    <w:rsid w:val="00D52FC8"/>
    <w:rsid w:val="00D53772"/>
    <w:rsid w:val="00D57AB8"/>
    <w:rsid w:val="00D62355"/>
    <w:rsid w:val="00D641C0"/>
    <w:rsid w:val="00D80EE8"/>
    <w:rsid w:val="00D9324D"/>
    <w:rsid w:val="00DA54E1"/>
    <w:rsid w:val="00DB5379"/>
    <w:rsid w:val="00DB592C"/>
    <w:rsid w:val="00DC1C74"/>
    <w:rsid w:val="00DC38B5"/>
    <w:rsid w:val="00DD1853"/>
    <w:rsid w:val="00DD7C1D"/>
    <w:rsid w:val="00DF4626"/>
    <w:rsid w:val="00E05A92"/>
    <w:rsid w:val="00E05C1D"/>
    <w:rsid w:val="00E07519"/>
    <w:rsid w:val="00E424BB"/>
    <w:rsid w:val="00E43744"/>
    <w:rsid w:val="00E65A02"/>
    <w:rsid w:val="00E740EB"/>
    <w:rsid w:val="00E9191C"/>
    <w:rsid w:val="00EA5444"/>
    <w:rsid w:val="00EC528A"/>
    <w:rsid w:val="00EC75CD"/>
    <w:rsid w:val="00ED737B"/>
    <w:rsid w:val="00EE7F3C"/>
    <w:rsid w:val="00EF5787"/>
    <w:rsid w:val="00F069E6"/>
    <w:rsid w:val="00F22CDD"/>
    <w:rsid w:val="00F337DC"/>
    <w:rsid w:val="00F3661C"/>
    <w:rsid w:val="00F447B6"/>
    <w:rsid w:val="00F50DC4"/>
    <w:rsid w:val="00F6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1FE211D"/>
  <w15:docId w15:val="{FB83496B-BEE9-4B99-A4C9-0BA73DA5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6BD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D06BD"/>
    <w:pPr>
      <w:keepNext/>
      <w:spacing w:before="240" w:after="60"/>
      <w:outlineLvl w:val="2"/>
    </w:pPr>
    <w:rPr>
      <w:rFonts w:ascii="Arial" w:hAnsi="Arial" w:cs="Arial"/>
      <w:b/>
      <w:bCs/>
      <w:vanish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D06BD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C528A"/>
    <w:pPr>
      <w:keepNext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B3B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B3B1D"/>
    <w:rPr>
      <w:rFonts w:asciiTheme="minorHAnsi" w:eastAsiaTheme="minorEastAsia" w:hAnsiTheme="minorHAnsi" w:cstheme="minorBid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B3B1D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ormalWeb">
    <w:name w:val="Normal (Web)"/>
    <w:basedOn w:val="Normal"/>
    <w:uiPriority w:val="99"/>
    <w:rsid w:val="00CB3B1D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CB3B1D"/>
    <w:rPr>
      <w:rFonts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99"/>
    <w:qFormat/>
    <w:rsid w:val="00CB3B1D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CB3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3B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CB3B1D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B3B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B3B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B3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B3B1D"/>
    <w:rPr>
      <w:rFonts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CB3B1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B3B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B3B1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3B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3B1D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B3B1D"/>
    <w:rPr>
      <w:rFonts w:ascii="Times New Roman" w:hAnsi="Times New Roman"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CB3B1D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rsid w:val="00CB3B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B3B1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93BBE"/>
    <w:pPr>
      <w:ind w:right="-7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B3B1D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D06BD"/>
    <w:pPr>
      <w:ind w:left="1440" w:hanging="14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B3B1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AD06BD"/>
    <w:pPr>
      <w:tabs>
        <w:tab w:val="num" w:pos="450"/>
      </w:tabs>
      <w:ind w:left="360" w:hanging="36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B3B1D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rsid w:val="00AD06BD"/>
    <w:pPr>
      <w:ind w:left="720" w:right="-720"/>
    </w:pPr>
  </w:style>
  <w:style w:type="table" w:customStyle="1" w:styleId="TableGrid1">
    <w:name w:val="Table Grid1"/>
    <w:uiPriority w:val="99"/>
    <w:rsid w:val="00D52FC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B592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B4D"/>
    <w:pPr>
      <w:ind w:left="720"/>
    </w:pPr>
  </w:style>
  <w:style w:type="paragraph" w:customStyle="1" w:styleId="Default">
    <w:name w:val="Default"/>
    <w:rsid w:val="00D079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58/2159-8290.CD-23-0539" TargetMode="External"/><Relationship Id="rId13" Type="http://schemas.openxmlformats.org/officeDocument/2006/relationships/hyperlink" Target="https://doi.org/10.1038/s41388-023-02890-5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38/s41467-023-37478-w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38/s42256-022-00492-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86/s13059-023-03099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tranon.2023.101689" TargetMode="External"/><Relationship Id="rId10" Type="http://schemas.openxmlformats.org/officeDocument/2006/relationships/hyperlink" Target="https://doi.org/10.3389/fimmu.2024.135173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93/bioinformatics/btae024" TargetMode="External"/><Relationship Id="rId14" Type="http://schemas.openxmlformats.org/officeDocument/2006/relationships/hyperlink" Target="https://doi.org/10.1016/j.ccell.2023.06.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23598-B860-4811-BEB2-FE927744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770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XV</vt:lpstr>
    </vt:vector>
  </TitlesOfParts>
  <Company>UT Southwestern Medical Center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Rev July 2023</dc:subject>
  <dc:creator>Ellice Lieberman</dc:creator>
  <cp:lastModifiedBy>Yuqiu Yang</cp:lastModifiedBy>
  <cp:revision>48</cp:revision>
  <cp:lastPrinted>2023-07-25T12:07:00Z</cp:lastPrinted>
  <dcterms:created xsi:type="dcterms:W3CDTF">2025-01-16T17:31:00Z</dcterms:created>
  <dcterms:modified xsi:type="dcterms:W3CDTF">2025-02-03T01:13:00Z</dcterms:modified>
</cp:coreProperties>
</file>